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B7AC2" w14:textId="77777777" w:rsidR="00C04251" w:rsidRDefault="008413FB">
      <w:pPr>
        <w:pStyle w:val="2"/>
        <w:spacing w:line="27" w:lineRule="atLeast"/>
        <w:rPr>
          <w:rFonts w:ascii="Times New Roman" w:hAnsi="Times New Roman"/>
          <w:color w:val="111111"/>
          <w:sz w:val="24"/>
          <w:szCs w:val="24"/>
        </w:rPr>
      </w:pPr>
      <w:r>
        <w:rPr>
          <w:rStyle w:val="ac"/>
          <w:rFonts w:ascii="Times New Roman" w:hAnsi="Times New Roman" w:cs="Times New Roman"/>
          <w:bCs/>
          <w:color w:val="111111"/>
          <w:sz w:val="24"/>
          <w:szCs w:val="24"/>
        </w:rPr>
        <w:t xml:space="preserve">Supplementary Table </w:t>
      </w:r>
      <w:r>
        <w:rPr>
          <w:rStyle w:val="ac"/>
          <w:rFonts w:ascii="Times New Roman" w:hAnsi="Times New Roman" w:cs="Times New Roman" w:hint="eastAsia"/>
          <w:bCs/>
          <w:color w:val="111111"/>
          <w:sz w:val="24"/>
          <w:szCs w:val="24"/>
        </w:rPr>
        <w:t>1</w:t>
      </w:r>
      <w:r>
        <w:rPr>
          <w:rStyle w:val="ac"/>
          <w:rFonts w:ascii="Times New Roman" w:hAnsi="Times New Roman" w:cs="Times New Roman"/>
          <w:b w:val="0"/>
          <w:color w:val="111111"/>
          <w:sz w:val="24"/>
          <w:szCs w:val="24"/>
        </w:rPr>
        <w:t>.</w:t>
      </w:r>
      <w:r>
        <w:rPr>
          <w:rFonts w:ascii="Times New Roman" w:hAnsi="Times New Roman" w:cs="Times New Roman"/>
          <w:color w:val="111111"/>
          <w:sz w:val="24"/>
          <w:szCs w:val="24"/>
        </w:rPr>
        <w:t xml:space="preserve"> Relationship of the </w:t>
      </w:r>
      <w:r>
        <w:rPr>
          <w:rFonts w:ascii="Times New Roman" w:hAnsi="Times New Roman" w:cs="Times New Roman" w:hint="eastAsia"/>
          <w:color w:val="111111"/>
          <w:sz w:val="24"/>
          <w:szCs w:val="24"/>
        </w:rPr>
        <w:t>p</w:t>
      </w:r>
      <w:r>
        <w:rPr>
          <w:rFonts w:ascii="Times New Roman" w:hAnsi="Times New Roman" w:cs="Times New Roman"/>
          <w:color w:val="111111"/>
          <w:sz w:val="24"/>
          <w:szCs w:val="24"/>
        </w:rPr>
        <w:t xml:space="preserve">rior </w:t>
      </w:r>
      <w:r>
        <w:rPr>
          <w:rFonts w:ascii="Times New Roman" w:hAnsi="Times New Roman" w:cs="Times New Roman" w:hint="eastAsia"/>
          <w:color w:val="111111"/>
          <w:sz w:val="24"/>
          <w:szCs w:val="24"/>
        </w:rPr>
        <w:t>s</w:t>
      </w:r>
      <w:r>
        <w:rPr>
          <w:rFonts w:ascii="Times New Roman" w:hAnsi="Times New Roman" w:cs="Times New Roman"/>
          <w:color w:val="111111"/>
          <w:sz w:val="24"/>
          <w:szCs w:val="24"/>
        </w:rPr>
        <w:t xml:space="preserve">ource </w:t>
      </w:r>
      <w:r>
        <w:rPr>
          <w:rFonts w:ascii="Times New Roman" w:hAnsi="Times New Roman" w:cs="Times New Roman" w:hint="eastAsia"/>
          <w:color w:val="111111"/>
          <w:sz w:val="24"/>
          <w:szCs w:val="24"/>
        </w:rPr>
        <w:t>s</w:t>
      </w:r>
      <w:r>
        <w:rPr>
          <w:rFonts w:ascii="Times New Roman" w:hAnsi="Times New Roman" w:cs="Times New Roman"/>
          <w:color w:val="111111"/>
          <w:sz w:val="24"/>
          <w:szCs w:val="24"/>
        </w:rPr>
        <w:t xml:space="preserve">tudies to the </w:t>
      </w:r>
      <w:r>
        <w:rPr>
          <w:rFonts w:ascii="Times New Roman" w:hAnsi="Times New Roman" w:cs="Times New Roman" w:hint="eastAsia"/>
          <w:color w:val="111111"/>
          <w:sz w:val="24"/>
          <w:szCs w:val="24"/>
        </w:rPr>
        <w:t>c</w:t>
      </w:r>
      <w:r>
        <w:rPr>
          <w:rFonts w:ascii="Times New Roman" w:hAnsi="Times New Roman" w:cs="Times New Roman"/>
          <w:color w:val="111111"/>
          <w:sz w:val="24"/>
          <w:szCs w:val="24"/>
        </w:rPr>
        <w:t xml:space="preserve">urrent </w:t>
      </w:r>
      <w:r>
        <w:rPr>
          <w:rFonts w:ascii="Times New Roman" w:hAnsi="Times New Roman" w:cs="Times New Roman" w:hint="eastAsia"/>
          <w:color w:val="111111"/>
          <w:sz w:val="24"/>
          <w:szCs w:val="24"/>
        </w:rPr>
        <w:t>i</w:t>
      </w:r>
      <w:r>
        <w:rPr>
          <w:rFonts w:ascii="Times New Roman" w:hAnsi="Times New Roman" w:cs="Times New Roman"/>
          <w:color w:val="111111"/>
          <w:sz w:val="24"/>
          <w:szCs w:val="24"/>
        </w:rPr>
        <w:t xml:space="preserve">ntegrated </w:t>
      </w:r>
      <w:r>
        <w:rPr>
          <w:rFonts w:ascii="Times New Roman" w:hAnsi="Times New Roman" w:cs="Times New Roman" w:hint="eastAsia"/>
          <w:color w:val="111111"/>
          <w:sz w:val="24"/>
          <w:szCs w:val="24"/>
        </w:rPr>
        <w:t>a</w:t>
      </w:r>
      <w:r>
        <w:rPr>
          <w:rFonts w:ascii="Times New Roman" w:hAnsi="Times New Roman" w:cs="Times New Roman"/>
          <w:color w:val="111111"/>
          <w:sz w:val="24"/>
          <w:szCs w:val="24"/>
        </w:rPr>
        <w:t>nalysis.</w:t>
      </w:r>
    </w:p>
    <w:tbl>
      <w:tblPr>
        <w:tblW w:w="10312" w:type="dxa"/>
        <w:jc w:val="center"/>
        <w:tblCellSpacing w:w="15" w:type="dxa"/>
        <w:tblLayout w:type="fixed"/>
        <w:tblCellMar>
          <w:top w:w="15" w:type="dxa"/>
          <w:left w:w="15" w:type="dxa"/>
          <w:bottom w:w="15" w:type="dxa"/>
          <w:right w:w="15" w:type="dxa"/>
        </w:tblCellMar>
        <w:tblLook w:val="04A0" w:firstRow="1" w:lastRow="0" w:firstColumn="1" w:lastColumn="0" w:noHBand="0" w:noVBand="1"/>
      </w:tblPr>
      <w:tblGrid>
        <w:gridCol w:w="1815"/>
        <w:gridCol w:w="845"/>
        <w:gridCol w:w="1417"/>
        <w:gridCol w:w="1081"/>
        <w:gridCol w:w="1281"/>
        <w:gridCol w:w="1815"/>
        <w:gridCol w:w="2058"/>
      </w:tblGrid>
      <w:tr w:rsidR="00C04251" w14:paraId="5FDCB501" w14:textId="77777777">
        <w:trPr>
          <w:tblHeader/>
          <w:tblCellSpacing w:w="15" w:type="dxa"/>
          <w:jc w:val="center"/>
        </w:trPr>
        <w:tc>
          <w:tcPr>
            <w:tcW w:w="1770" w:type="dxa"/>
            <w:tcBorders>
              <w:top w:val="single" w:sz="12" w:space="0" w:color="auto"/>
              <w:left w:val="nil"/>
              <w:bottom w:val="nil"/>
              <w:right w:val="nil"/>
            </w:tcBorders>
            <w:tcMar>
              <w:top w:w="-1" w:type="dxa"/>
              <w:left w:w="-1" w:type="dxa"/>
              <w:bottom w:w="-1" w:type="dxa"/>
              <w:right w:w="-1" w:type="dxa"/>
            </w:tcMar>
            <w:vAlign w:val="center"/>
          </w:tcPr>
          <w:p w14:paraId="74B12849" w14:textId="77777777" w:rsidR="00C04251" w:rsidRDefault="008413FB">
            <w:pPr>
              <w:snapToGrid w:val="0"/>
              <w:jc w:val="center"/>
              <w:rPr>
                <w:rFonts w:ascii="Times New Roman" w:hAnsi="Times New Roman"/>
                <w:b/>
                <w:bCs/>
              </w:rPr>
            </w:pPr>
            <w:r>
              <w:rPr>
                <w:rFonts w:ascii="Times New Roman" w:eastAsia="宋体" w:hAnsi="Times New Roman"/>
                <w:b/>
                <w:bCs/>
                <w:lang w:bidi="ar"/>
              </w:rPr>
              <w:t>Prior source study</w:t>
            </w:r>
          </w:p>
        </w:tc>
        <w:tc>
          <w:tcPr>
            <w:tcW w:w="815" w:type="dxa"/>
            <w:tcBorders>
              <w:top w:val="single" w:sz="12" w:space="0" w:color="auto"/>
              <w:left w:val="nil"/>
              <w:bottom w:val="nil"/>
              <w:right w:val="nil"/>
            </w:tcBorders>
            <w:tcMar>
              <w:top w:w="-1" w:type="dxa"/>
              <w:left w:w="-1" w:type="dxa"/>
              <w:bottom w:w="-1" w:type="dxa"/>
              <w:right w:w="-1" w:type="dxa"/>
            </w:tcMar>
            <w:vAlign w:val="center"/>
          </w:tcPr>
          <w:p w14:paraId="4B63611E" w14:textId="77777777" w:rsidR="00C04251" w:rsidRDefault="008413FB">
            <w:pPr>
              <w:snapToGrid w:val="0"/>
              <w:jc w:val="center"/>
              <w:rPr>
                <w:rFonts w:ascii="Times New Roman" w:hAnsi="Times New Roman"/>
                <w:b/>
                <w:bCs/>
              </w:rPr>
            </w:pPr>
            <w:r>
              <w:rPr>
                <w:rFonts w:ascii="Times New Roman" w:eastAsia="宋体" w:hAnsi="Times New Roman"/>
                <w:b/>
                <w:bCs/>
                <w:lang w:bidi="ar"/>
              </w:rPr>
              <w:t>Study period</w:t>
            </w:r>
          </w:p>
        </w:tc>
        <w:tc>
          <w:tcPr>
            <w:tcW w:w="1387" w:type="dxa"/>
            <w:tcBorders>
              <w:top w:val="single" w:sz="12" w:space="0" w:color="auto"/>
              <w:left w:val="nil"/>
              <w:bottom w:val="nil"/>
              <w:right w:val="nil"/>
            </w:tcBorders>
            <w:tcMar>
              <w:top w:w="-1" w:type="dxa"/>
              <w:left w:w="-1" w:type="dxa"/>
              <w:bottom w:w="-1" w:type="dxa"/>
              <w:right w:w="-1" w:type="dxa"/>
            </w:tcMar>
            <w:vAlign w:val="center"/>
          </w:tcPr>
          <w:p w14:paraId="3E91AB9E" w14:textId="77777777" w:rsidR="00C04251" w:rsidRDefault="008413FB">
            <w:pPr>
              <w:snapToGrid w:val="0"/>
              <w:jc w:val="center"/>
              <w:rPr>
                <w:rFonts w:ascii="Times New Roman" w:hAnsi="Times New Roman"/>
                <w:b/>
                <w:bCs/>
              </w:rPr>
            </w:pPr>
            <w:r>
              <w:rPr>
                <w:rFonts w:ascii="Times New Roman" w:eastAsia="宋体" w:hAnsi="Times New Roman"/>
                <w:b/>
                <w:bCs/>
                <w:lang w:bidi="ar"/>
              </w:rPr>
              <w:t>Population / sample size</w:t>
            </w:r>
          </w:p>
        </w:tc>
        <w:tc>
          <w:tcPr>
            <w:tcW w:w="1051" w:type="dxa"/>
            <w:tcBorders>
              <w:top w:val="single" w:sz="12" w:space="0" w:color="auto"/>
              <w:left w:val="nil"/>
              <w:bottom w:val="nil"/>
              <w:right w:val="nil"/>
            </w:tcBorders>
            <w:tcMar>
              <w:top w:w="-1" w:type="dxa"/>
              <w:left w:w="-1" w:type="dxa"/>
              <w:bottom w:w="-1" w:type="dxa"/>
              <w:right w:w="-1" w:type="dxa"/>
            </w:tcMar>
            <w:vAlign w:val="center"/>
          </w:tcPr>
          <w:p w14:paraId="75719F91" w14:textId="77777777" w:rsidR="00C04251" w:rsidRDefault="008413FB">
            <w:pPr>
              <w:snapToGrid w:val="0"/>
              <w:jc w:val="center"/>
              <w:rPr>
                <w:rFonts w:ascii="Times New Roman" w:hAnsi="Times New Roman"/>
                <w:b/>
                <w:bCs/>
              </w:rPr>
            </w:pPr>
            <w:r>
              <w:rPr>
                <w:rFonts w:ascii="Times New Roman" w:eastAsia="宋体" w:hAnsi="Times New Roman"/>
                <w:b/>
                <w:bCs/>
                <w:lang w:bidi="ar"/>
              </w:rPr>
              <w:t>Primary outcome in source study</w:t>
            </w:r>
          </w:p>
        </w:tc>
        <w:tc>
          <w:tcPr>
            <w:tcW w:w="1251" w:type="dxa"/>
            <w:tcBorders>
              <w:top w:val="single" w:sz="12" w:space="0" w:color="auto"/>
              <w:left w:val="nil"/>
              <w:bottom w:val="nil"/>
              <w:right w:val="nil"/>
            </w:tcBorders>
            <w:tcMar>
              <w:top w:w="-1" w:type="dxa"/>
              <w:left w:w="-1" w:type="dxa"/>
              <w:bottom w:w="-1" w:type="dxa"/>
              <w:right w:w="-1" w:type="dxa"/>
            </w:tcMar>
            <w:vAlign w:val="center"/>
          </w:tcPr>
          <w:p w14:paraId="23036F58" w14:textId="77777777" w:rsidR="00C04251" w:rsidRDefault="008413FB">
            <w:pPr>
              <w:snapToGrid w:val="0"/>
              <w:jc w:val="center"/>
              <w:rPr>
                <w:rFonts w:ascii="Times New Roman" w:eastAsia="宋体" w:hAnsi="Times New Roman"/>
                <w:b/>
                <w:bCs/>
              </w:rPr>
            </w:pPr>
            <w:r>
              <w:rPr>
                <w:rFonts w:ascii="Times New Roman" w:eastAsia="宋体" w:hAnsi="Times New Roman"/>
                <w:b/>
                <w:bCs/>
                <w:lang w:bidi="ar"/>
              </w:rPr>
              <w:t>Key time point</w:t>
            </w:r>
          </w:p>
          <w:p w14:paraId="55D34B93" w14:textId="77777777" w:rsidR="00C04251" w:rsidRDefault="008413FB">
            <w:pPr>
              <w:snapToGrid w:val="0"/>
              <w:jc w:val="center"/>
              <w:rPr>
                <w:rFonts w:ascii="Times New Roman" w:hAnsi="Times New Roman"/>
                <w:b/>
                <w:bCs/>
              </w:rPr>
            </w:pPr>
            <w:r>
              <w:rPr>
                <w:rFonts w:ascii="Times New Roman" w:eastAsia="宋体" w:hAnsi="Times New Roman"/>
                <w:b/>
                <w:bCs/>
                <w:lang w:bidi="ar"/>
              </w:rPr>
              <w:t>(s)</w:t>
            </w:r>
          </w:p>
        </w:tc>
        <w:tc>
          <w:tcPr>
            <w:tcW w:w="1785" w:type="dxa"/>
            <w:tcBorders>
              <w:top w:val="single" w:sz="12" w:space="0" w:color="auto"/>
              <w:left w:val="nil"/>
              <w:bottom w:val="nil"/>
              <w:right w:val="nil"/>
            </w:tcBorders>
            <w:tcMar>
              <w:top w:w="-1" w:type="dxa"/>
              <w:left w:w="-1" w:type="dxa"/>
              <w:bottom w:w="-1" w:type="dxa"/>
              <w:right w:w="-1" w:type="dxa"/>
            </w:tcMar>
            <w:vAlign w:val="center"/>
          </w:tcPr>
          <w:p w14:paraId="2607209E" w14:textId="77777777" w:rsidR="00C04251" w:rsidRDefault="008413FB">
            <w:pPr>
              <w:snapToGrid w:val="0"/>
              <w:jc w:val="center"/>
              <w:rPr>
                <w:rFonts w:ascii="Times New Roman" w:hAnsi="Times New Roman"/>
                <w:b/>
                <w:bCs/>
              </w:rPr>
            </w:pPr>
            <w:r>
              <w:rPr>
                <w:rFonts w:ascii="Times New Roman" w:eastAsia="宋体" w:hAnsi="Times New Roman"/>
                <w:b/>
                <w:bCs/>
                <w:lang w:bidi="ar"/>
              </w:rPr>
              <w:t>Main analytic focus in source study</w:t>
            </w:r>
          </w:p>
        </w:tc>
        <w:tc>
          <w:tcPr>
            <w:tcW w:w="2013" w:type="dxa"/>
            <w:tcBorders>
              <w:top w:val="single" w:sz="12" w:space="0" w:color="auto"/>
              <w:left w:val="nil"/>
              <w:bottom w:val="nil"/>
              <w:right w:val="nil"/>
            </w:tcBorders>
            <w:tcMar>
              <w:top w:w="-1" w:type="dxa"/>
              <w:left w:w="-1" w:type="dxa"/>
              <w:bottom w:w="-1" w:type="dxa"/>
              <w:right w:w="-1" w:type="dxa"/>
            </w:tcMar>
            <w:vAlign w:val="center"/>
          </w:tcPr>
          <w:p w14:paraId="7A7B1B8C" w14:textId="77777777" w:rsidR="00C04251" w:rsidRDefault="008413FB">
            <w:pPr>
              <w:snapToGrid w:val="0"/>
              <w:jc w:val="center"/>
              <w:rPr>
                <w:rFonts w:ascii="Times New Roman" w:hAnsi="Times New Roman"/>
                <w:b/>
                <w:bCs/>
              </w:rPr>
            </w:pPr>
            <w:r>
              <w:rPr>
                <w:rFonts w:ascii="Times New Roman" w:eastAsia="宋体" w:hAnsi="Times New Roman"/>
                <w:b/>
                <w:bCs/>
                <w:lang w:bidi="ar"/>
              </w:rPr>
              <w:t>Relationship to the current integrated analysis</w:t>
            </w:r>
          </w:p>
        </w:tc>
      </w:tr>
      <w:tr w:rsidR="00C04251" w14:paraId="0A1A7526" w14:textId="77777777">
        <w:trPr>
          <w:tblCellSpacing w:w="15" w:type="dxa"/>
          <w:jc w:val="center"/>
        </w:trPr>
        <w:tc>
          <w:tcPr>
            <w:tcW w:w="1770" w:type="dxa"/>
            <w:tcBorders>
              <w:top w:val="single" w:sz="4" w:space="0" w:color="auto"/>
              <w:left w:val="nil"/>
              <w:bottom w:val="nil"/>
              <w:right w:val="nil"/>
            </w:tcBorders>
            <w:tcMar>
              <w:top w:w="-1" w:type="dxa"/>
              <w:left w:w="-1" w:type="dxa"/>
              <w:bottom w:w="-1" w:type="dxa"/>
              <w:right w:w="-1" w:type="dxa"/>
            </w:tcMar>
          </w:tcPr>
          <w:p w14:paraId="3118DDFA" w14:textId="77777777" w:rsidR="00C04251" w:rsidRDefault="008413FB">
            <w:pPr>
              <w:snapToGrid w:val="0"/>
              <w:rPr>
                <w:rFonts w:ascii="Times New Roman" w:hAnsi="Times New Roman"/>
              </w:rPr>
            </w:pPr>
            <w:r>
              <w:rPr>
                <w:rStyle w:val="ac"/>
                <w:rFonts w:ascii="Times New Roman" w:eastAsia="宋体" w:hAnsi="Times New Roman"/>
                <w:b w:val="0"/>
                <w:lang w:bidi="ar"/>
              </w:rPr>
              <w:t xml:space="preserve">Hou W, Zhang L, Wang Y, Jia M, Ma W, Tian L. </w:t>
            </w:r>
            <w:r>
              <w:rPr>
                <w:rStyle w:val="ad"/>
                <w:rFonts w:ascii="Times New Roman" w:eastAsia="宋体" w:hAnsi="Times New Roman"/>
                <w:lang w:bidi="ar"/>
              </w:rPr>
              <w:t>Dynamic changes and significance of NLR and blood biochemical indexes in children with severe adenovirus pneumonia</w:t>
            </w:r>
            <w:r>
              <w:rPr>
                <w:rFonts w:ascii="Times New Roman" w:hAnsi="Times New Roman"/>
                <w:color w:val="111111"/>
              </w:rPr>
              <w:t xml:space="preserve"> [1]</w:t>
            </w:r>
          </w:p>
        </w:tc>
        <w:tc>
          <w:tcPr>
            <w:tcW w:w="815" w:type="dxa"/>
            <w:tcBorders>
              <w:top w:val="single" w:sz="4" w:space="0" w:color="auto"/>
              <w:left w:val="nil"/>
              <w:bottom w:val="nil"/>
              <w:right w:val="nil"/>
            </w:tcBorders>
            <w:tcMar>
              <w:top w:w="-1" w:type="dxa"/>
              <w:left w:w="-1" w:type="dxa"/>
              <w:bottom w:w="-1" w:type="dxa"/>
              <w:right w:w="-1" w:type="dxa"/>
            </w:tcMar>
          </w:tcPr>
          <w:p w14:paraId="220887E7" w14:textId="77777777" w:rsidR="00C04251" w:rsidRDefault="008413FB">
            <w:pPr>
              <w:snapToGrid w:val="0"/>
              <w:rPr>
                <w:rFonts w:ascii="Times New Roman" w:hAnsi="Times New Roman"/>
              </w:rPr>
            </w:pPr>
            <w:r>
              <w:rPr>
                <w:rFonts w:ascii="Times New Roman" w:eastAsia="宋体" w:hAnsi="Times New Roman"/>
                <w:lang w:bidi="ar"/>
              </w:rPr>
              <w:t>January 2017 to March 2021</w:t>
            </w:r>
          </w:p>
        </w:tc>
        <w:tc>
          <w:tcPr>
            <w:tcW w:w="1387" w:type="dxa"/>
            <w:tcBorders>
              <w:top w:val="single" w:sz="4" w:space="0" w:color="auto"/>
              <w:left w:val="nil"/>
              <w:bottom w:val="nil"/>
              <w:right w:val="nil"/>
            </w:tcBorders>
            <w:tcMar>
              <w:top w:w="-1" w:type="dxa"/>
              <w:left w:w="-1" w:type="dxa"/>
              <w:bottom w:w="-1" w:type="dxa"/>
              <w:right w:w="-1" w:type="dxa"/>
            </w:tcMar>
          </w:tcPr>
          <w:p w14:paraId="3C5278B8" w14:textId="77777777" w:rsidR="00C04251" w:rsidRDefault="008413FB">
            <w:pPr>
              <w:snapToGrid w:val="0"/>
              <w:rPr>
                <w:rFonts w:ascii="Times New Roman" w:hAnsi="Times New Roman"/>
              </w:rPr>
            </w:pPr>
            <w:r>
              <w:rPr>
                <w:rFonts w:ascii="Times New Roman" w:eastAsia="宋体" w:hAnsi="Times New Roman"/>
                <w:lang w:bidi="ar"/>
              </w:rPr>
              <w:t xml:space="preserve">Children with severe adenovirus pneumonia; </w:t>
            </w:r>
            <w:r>
              <w:rPr>
                <w:rStyle w:val="ac"/>
                <w:rFonts w:ascii="Times New Roman" w:eastAsia="宋体" w:hAnsi="Times New Roman"/>
                <w:b w:val="0"/>
                <w:lang w:bidi="ar"/>
              </w:rPr>
              <w:t>n = 70</w:t>
            </w:r>
          </w:p>
        </w:tc>
        <w:tc>
          <w:tcPr>
            <w:tcW w:w="1051" w:type="dxa"/>
            <w:tcBorders>
              <w:top w:val="single" w:sz="4" w:space="0" w:color="auto"/>
              <w:left w:val="nil"/>
              <w:bottom w:val="nil"/>
              <w:right w:val="nil"/>
            </w:tcBorders>
            <w:tcMar>
              <w:top w:w="-1" w:type="dxa"/>
              <w:left w:w="-1" w:type="dxa"/>
              <w:bottom w:w="-1" w:type="dxa"/>
              <w:right w:w="-1" w:type="dxa"/>
            </w:tcMar>
          </w:tcPr>
          <w:p w14:paraId="42EDEF7A" w14:textId="77777777" w:rsidR="00C04251" w:rsidRDefault="008413FB">
            <w:pPr>
              <w:snapToGrid w:val="0"/>
              <w:rPr>
                <w:rFonts w:ascii="Times New Roman" w:hAnsi="Times New Roman"/>
              </w:rPr>
            </w:pPr>
            <w:r>
              <w:rPr>
                <w:rFonts w:ascii="Times New Roman" w:eastAsia="宋体" w:hAnsi="Times New Roman"/>
                <w:lang w:bidi="ar"/>
              </w:rPr>
              <w:t>In-hospital death</w:t>
            </w:r>
          </w:p>
        </w:tc>
        <w:tc>
          <w:tcPr>
            <w:tcW w:w="1251" w:type="dxa"/>
            <w:tcBorders>
              <w:top w:val="single" w:sz="4" w:space="0" w:color="auto"/>
              <w:left w:val="nil"/>
              <w:bottom w:val="nil"/>
              <w:right w:val="nil"/>
            </w:tcBorders>
            <w:tcMar>
              <w:top w:w="-1" w:type="dxa"/>
              <w:left w:w="-1" w:type="dxa"/>
              <w:bottom w:w="-1" w:type="dxa"/>
              <w:right w:w="-1" w:type="dxa"/>
            </w:tcMar>
          </w:tcPr>
          <w:p w14:paraId="3D0903D9" w14:textId="77777777" w:rsidR="00C04251" w:rsidRDefault="008413FB">
            <w:pPr>
              <w:snapToGrid w:val="0"/>
              <w:rPr>
                <w:rFonts w:ascii="Times New Roman" w:hAnsi="Times New Roman"/>
              </w:rPr>
            </w:pPr>
            <w:r>
              <w:rPr>
                <w:rFonts w:ascii="Times New Roman" w:eastAsia="宋体" w:hAnsi="Times New Roman"/>
                <w:lang w:bidi="ar"/>
              </w:rPr>
              <w:t xml:space="preserve">Disease </w:t>
            </w:r>
            <w:r>
              <w:rPr>
                <w:rStyle w:val="ac"/>
                <w:rFonts w:ascii="Times New Roman" w:eastAsia="宋体" w:hAnsi="Times New Roman"/>
                <w:b w:val="0"/>
                <w:lang w:bidi="ar"/>
              </w:rPr>
              <w:t>week 1</w:t>
            </w:r>
            <w:r>
              <w:rPr>
                <w:rFonts w:ascii="Times New Roman" w:eastAsia="宋体" w:hAnsi="Times New Roman"/>
                <w:lang w:bidi="ar"/>
              </w:rPr>
              <w:t xml:space="preserve"> and </w:t>
            </w:r>
            <w:r>
              <w:rPr>
                <w:rStyle w:val="ac"/>
                <w:rFonts w:ascii="Times New Roman" w:eastAsia="宋体" w:hAnsi="Times New Roman"/>
                <w:b w:val="0"/>
                <w:lang w:bidi="ar"/>
              </w:rPr>
              <w:t>week 2</w:t>
            </w:r>
          </w:p>
        </w:tc>
        <w:tc>
          <w:tcPr>
            <w:tcW w:w="1785" w:type="dxa"/>
            <w:tcBorders>
              <w:top w:val="single" w:sz="4" w:space="0" w:color="auto"/>
              <w:left w:val="nil"/>
              <w:bottom w:val="nil"/>
              <w:right w:val="nil"/>
            </w:tcBorders>
            <w:tcMar>
              <w:top w:w="-1" w:type="dxa"/>
              <w:left w:w="-1" w:type="dxa"/>
              <w:bottom w:w="-1" w:type="dxa"/>
              <w:right w:w="-1" w:type="dxa"/>
            </w:tcMar>
          </w:tcPr>
          <w:p w14:paraId="1DE55E39" w14:textId="77777777" w:rsidR="00C04251" w:rsidRDefault="008413FB">
            <w:pPr>
              <w:snapToGrid w:val="0"/>
              <w:rPr>
                <w:rFonts w:ascii="Times New Roman" w:hAnsi="Times New Roman"/>
              </w:rPr>
            </w:pPr>
            <w:r>
              <w:rPr>
                <w:rFonts w:ascii="Times New Roman" w:eastAsia="宋体" w:hAnsi="Times New Roman"/>
                <w:lang w:bidi="ar"/>
              </w:rPr>
              <w:t xml:space="preserve">Dynamic changes in </w:t>
            </w:r>
            <w:r>
              <w:rPr>
                <w:rStyle w:val="ac"/>
                <w:rFonts w:ascii="Times New Roman" w:eastAsia="宋体" w:hAnsi="Times New Roman"/>
                <w:b w:val="0"/>
                <w:lang w:bidi="ar"/>
              </w:rPr>
              <w:t>NLR</w:t>
            </w:r>
            <w:r>
              <w:rPr>
                <w:rFonts w:ascii="Times New Roman" w:eastAsia="宋体" w:hAnsi="Times New Roman"/>
                <w:lang w:bidi="ar"/>
              </w:rPr>
              <w:t xml:space="preserve"> and blood biochemical markers (</w:t>
            </w:r>
            <w:r>
              <w:rPr>
                <w:rStyle w:val="ac"/>
                <w:rFonts w:ascii="Times New Roman" w:eastAsia="宋体" w:hAnsi="Times New Roman"/>
                <w:b w:val="0"/>
                <w:lang w:bidi="ar"/>
              </w:rPr>
              <w:t>ALT/AST/LDH</w:t>
            </w:r>
            <w:r>
              <w:rPr>
                <w:rFonts w:ascii="Times New Roman" w:eastAsia="宋体" w:hAnsi="Times New Roman"/>
                <w:lang w:bidi="ar"/>
              </w:rPr>
              <w:t>) in relation to mortality</w:t>
            </w:r>
          </w:p>
        </w:tc>
        <w:tc>
          <w:tcPr>
            <w:tcW w:w="2013" w:type="dxa"/>
            <w:tcBorders>
              <w:top w:val="single" w:sz="4" w:space="0" w:color="auto"/>
              <w:left w:val="nil"/>
              <w:bottom w:val="nil"/>
              <w:right w:val="nil"/>
            </w:tcBorders>
            <w:tcMar>
              <w:top w:w="-1" w:type="dxa"/>
              <w:left w:w="-1" w:type="dxa"/>
              <w:bottom w:w="-1" w:type="dxa"/>
              <w:right w:w="-1" w:type="dxa"/>
            </w:tcMar>
          </w:tcPr>
          <w:p w14:paraId="035C61A4" w14:textId="77777777" w:rsidR="00C04251" w:rsidRDefault="008413FB">
            <w:pPr>
              <w:snapToGrid w:val="0"/>
              <w:rPr>
                <w:rFonts w:ascii="Times New Roman" w:hAnsi="Times New Roman"/>
              </w:rPr>
            </w:pPr>
            <w:r>
              <w:rPr>
                <w:rFonts w:ascii="Times New Roman" w:eastAsia="宋体" w:hAnsi="Times New Roman"/>
                <w:lang w:bidi="ar"/>
              </w:rPr>
              <w:t xml:space="preserve">One of the three partially overlapping source cohorts. The original study examined a </w:t>
            </w:r>
            <w:r>
              <w:rPr>
                <w:rStyle w:val="ac"/>
                <w:rFonts w:ascii="Times New Roman" w:eastAsia="宋体" w:hAnsi="Times New Roman"/>
                <w:b w:val="0"/>
                <w:lang w:bidi="ar"/>
              </w:rPr>
              <w:t>single mortality endpoint</w:t>
            </w:r>
            <w:r>
              <w:rPr>
                <w:rFonts w:ascii="Times New Roman" w:eastAsia="宋体" w:hAnsi="Times New Roman"/>
                <w:lang w:bidi="ar"/>
              </w:rPr>
              <w:t xml:space="preserve"> using a narrower dynamic-biomarker framework. In the current manuscript, patients from this source were incorporated after </w:t>
            </w:r>
            <w:r>
              <w:rPr>
                <w:rStyle w:val="ac"/>
                <w:rFonts w:ascii="Times New Roman" w:eastAsia="宋体" w:hAnsi="Times New Roman"/>
                <w:b w:val="0"/>
                <w:lang w:bidi="ar"/>
              </w:rPr>
              <w:t>cross-study deduplication</w:t>
            </w:r>
            <w:r>
              <w:rPr>
                <w:rFonts w:ascii="Times New Roman" w:eastAsia="宋体" w:hAnsi="Times New Roman"/>
                <w:lang w:bidi="ar"/>
              </w:rPr>
              <w:t xml:space="preserve"> and variable harmonization into a broader </w:t>
            </w:r>
            <w:r>
              <w:rPr>
                <w:rStyle w:val="ac"/>
                <w:rFonts w:ascii="Times New Roman" w:eastAsia="宋体" w:hAnsi="Times New Roman"/>
                <w:b w:val="0"/>
                <w:lang w:bidi="ar"/>
              </w:rPr>
              <w:t>multivariable model for the composite outcome of in-hospital death or BO</w:t>
            </w:r>
            <w:r>
              <w:rPr>
                <w:rFonts w:ascii="Times New Roman" w:eastAsia="宋体" w:hAnsi="Times New Roman"/>
                <w:lang w:bidi="ar"/>
              </w:rPr>
              <w:t>.</w:t>
            </w:r>
          </w:p>
        </w:tc>
      </w:tr>
      <w:tr w:rsidR="00C04251" w14:paraId="596BD6D4" w14:textId="77777777">
        <w:trPr>
          <w:tblCellSpacing w:w="15" w:type="dxa"/>
          <w:jc w:val="center"/>
        </w:trPr>
        <w:tc>
          <w:tcPr>
            <w:tcW w:w="1770" w:type="dxa"/>
            <w:tcBorders>
              <w:top w:val="nil"/>
              <w:left w:val="nil"/>
              <w:bottom w:val="nil"/>
              <w:right w:val="nil"/>
            </w:tcBorders>
            <w:tcMar>
              <w:top w:w="-1" w:type="dxa"/>
              <w:left w:w="-1" w:type="dxa"/>
              <w:bottom w:w="-1" w:type="dxa"/>
              <w:right w:w="-1" w:type="dxa"/>
            </w:tcMar>
          </w:tcPr>
          <w:p w14:paraId="340CD87F" w14:textId="77777777" w:rsidR="00C04251" w:rsidRDefault="008413FB">
            <w:pPr>
              <w:snapToGrid w:val="0"/>
              <w:rPr>
                <w:rFonts w:ascii="Times New Roman" w:hAnsi="Times New Roman"/>
              </w:rPr>
            </w:pPr>
            <w:r>
              <w:rPr>
                <w:rStyle w:val="ac"/>
                <w:rFonts w:ascii="Times New Roman" w:eastAsia="宋体" w:hAnsi="Times New Roman"/>
                <w:b w:val="0"/>
                <w:lang w:bidi="ar"/>
              </w:rPr>
              <w:t xml:space="preserve">Hou W, Li Q, Wang Y, Zhang M, Zhang L, Tian L. </w:t>
            </w:r>
            <w:r>
              <w:rPr>
                <w:rStyle w:val="ac"/>
                <w:rFonts w:ascii="Times New Roman" w:eastAsia="宋体" w:hAnsi="Times New Roman"/>
                <w:b w:val="0"/>
                <w:i/>
                <w:iCs/>
                <w:lang w:bidi="ar"/>
              </w:rPr>
              <w:t>Predictive value of blood routine-derived inflammatory indicators for bronchiolitis obliterans in children with severe adenovirus pneumonia</w:t>
            </w:r>
            <w:r>
              <w:rPr>
                <w:rStyle w:val="ac"/>
                <w:rFonts w:ascii="Times New Roman" w:eastAsia="宋体" w:hAnsi="Times New Roman"/>
                <w:b w:val="0"/>
                <w:lang w:bidi="ar"/>
              </w:rPr>
              <w:t xml:space="preserve"> [2]</w:t>
            </w:r>
          </w:p>
        </w:tc>
        <w:tc>
          <w:tcPr>
            <w:tcW w:w="815" w:type="dxa"/>
            <w:tcBorders>
              <w:top w:val="nil"/>
              <w:left w:val="nil"/>
              <w:bottom w:val="nil"/>
              <w:right w:val="nil"/>
            </w:tcBorders>
            <w:tcMar>
              <w:top w:w="-1" w:type="dxa"/>
              <w:left w:w="-1" w:type="dxa"/>
              <w:bottom w:w="-1" w:type="dxa"/>
              <w:right w:w="-1" w:type="dxa"/>
            </w:tcMar>
          </w:tcPr>
          <w:p w14:paraId="6BDA419F" w14:textId="77777777" w:rsidR="00C04251" w:rsidRDefault="008413FB">
            <w:pPr>
              <w:snapToGrid w:val="0"/>
              <w:rPr>
                <w:rFonts w:ascii="Times New Roman" w:hAnsi="Times New Roman"/>
              </w:rPr>
            </w:pPr>
            <w:r>
              <w:rPr>
                <w:rFonts w:ascii="Times New Roman" w:eastAsia="宋体" w:hAnsi="Times New Roman"/>
                <w:lang w:bidi="ar"/>
              </w:rPr>
              <w:t>2019 to 2023</w:t>
            </w:r>
          </w:p>
        </w:tc>
        <w:tc>
          <w:tcPr>
            <w:tcW w:w="1387" w:type="dxa"/>
            <w:tcBorders>
              <w:top w:val="nil"/>
              <w:left w:val="nil"/>
              <w:bottom w:val="nil"/>
              <w:right w:val="nil"/>
            </w:tcBorders>
            <w:tcMar>
              <w:top w:w="-1" w:type="dxa"/>
              <w:left w:w="-1" w:type="dxa"/>
              <w:bottom w:w="-1" w:type="dxa"/>
              <w:right w:w="-1" w:type="dxa"/>
            </w:tcMar>
          </w:tcPr>
          <w:p w14:paraId="2F146786" w14:textId="77777777" w:rsidR="00C04251" w:rsidRDefault="008413FB">
            <w:pPr>
              <w:snapToGrid w:val="0"/>
              <w:rPr>
                <w:rFonts w:ascii="Times New Roman" w:hAnsi="Times New Roman"/>
              </w:rPr>
            </w:pPr>
            <w:r>
              <w:rPr>
                <w:rFonts w:ascii="Times New Roman" w:eastAsia="宋体" w:hAnsi="Times New Roman"/>
                <w:lang w:bidi="ar"/>
              </w:rPr>
              <w:t xml:space="preserve">Children with severe adenovirus pneumonia; </w:t>
            </w:r>
            <w:r>
              <w:rPr>
                <w:rStyle w:val="ac"/>
                <w:rFonts w:ascii="Times New Roman" w:eastAsia="宋体" w:hAnsi="Times New Roman"/>
                <w:b w:val="0"/>
                <w:lang w:bidi="ar"/>
              </w:rPr>
              <w:t>n = 77</w:t>
            </w:r>
          </w:p>
        </w:tc>
        <w:tc>
          <w:tcPr>
            <w:tcW w:w="1051" w:type="dxa"/>
            <w:tcBorders>
              <w:top w:val="nil"/>
              <w:left w:val="nil"/>
              <w:bottom w:val="nil"/>
              <w:right w:val="nil"/>
            </w:tcBorders>
            <w:tcMar>
              <w:top w:w="-1" w:type="dxa"/>
              <w:left w:w="-1" w:type="dxa"/>
              <w:bottom w:w="-1" w:type="dxa"/>
              <w:right w:w="-1" w:type="dxa"/>
            </w:tcMar>
          </w:tcPr>
          <w:p w14:paraId="3CD455C6" w14:textId="77777777" w:rsidR="00C04251" w:rsidRDefault="008413FB">
            <w:pPr>
              <w:snapToGrid w:val="0"/>
              <w:rPr>
                <w:rFonts w:ascii="Times New Roman" w:hAnsi="Times New Roman"/>
              </w:rPr>
            </w:pPr>
            <w:r>
              <w:rPr>
                <w:rFonts w:ascii="Times New Roman" w:eastAsia="宋体" w:hAnsi="Times New Roman"/>
                <w:lang w:bidi="ar"/>
              </w:rPr>
              <w:t>Bronchiolitis obliterans</w:t>
            </w:r>
          </w:p>
        </w:tc>
        <w:tc>
          <w:tcPr>
            <w:tcW w:w="1251" w:type="dxa"/>
            <w:tcBorders>
              <w:top w:val="nil"/>
              <w:left w:val="nil"/>
              <w:bottom w:val="nil"/>
              <w:right w:val="nil"/>
            </w:tcBorders>
            <w:tcMar>
              <w:top w:w="-1" w:type="dxa"/>
              <w:left w:w="-1" w:type="dxa"/>
              <w:bottom w:w="-1" w:type="dxa"/>
              <w:right w:w="-1" w:type="dxa"/>
            </w:tcMar>
          </w:tcPr>
          <w:p w14:paraId="38EB5B75" w14:textId="77777777" w:rsidR="00C04251" w:rsidRDefault="008413FB">
            <w:pPr>
              <w:snapToGrid w:val="0"/>
              <w:rPr>
                <w:rFonts w:ascii="Times New Roman" w:hAnsi="Times New Roman"/>
              </w:rPr>
            </w:pPr>
            <w:r>
              <w:rPr>
                <w:rStyle w:val="ac"/>
                <w:rFonts w:ascii="Times New Roman" w:eastAsia="宋体" w:hAnsi="Times New Roman"/>
                <w:b w:val="0"/>
                <w:lang w:bidi="ar"/>
              </w:rPr>
              <w:t>Admission</w:t>
            </w:r>
            <w:r>
              <w:rPr>
                <w:rFonts w:ascii="Times New Roman" w:eastAsia="宋体" w:hAnsi="Times New Roman"/>
                <w:lang w:bidi="ar"/>
              </w:rPr>
              <w:t xml:space="preserve">, </w:t>
            </w:r>
            <w:r>
              <w:rPr>
                <w:rStyle w:val="ac"/>
                <w:rFonts w:ascii="Times New Roman" w:eastAsia="宋体" w:hAnsi="Times New Roman"/>
                <w:b w:val="0"/>
                <w:lang w:bidi="ar"/>
              </w:rPr>
              <w:t>1 week of treatment</w:t>
            </w:r>
            <w:r>
              <w:rPr>
                <w:rFonts w:ascii="Times New Roman" w:eastAsia="宋体" w:hAnsi="Times New Roman"/>
                <w:lang w:bidi="ar"/>
              </w:rPr>
              <w:t xml:space="preserve">, and </w:t>
            </w:r>
            <w:r>
              <w:rPr>
                <w:rStyle w:val="ac"/>
                <w:rFonts w:ascii="Times New Roman" w:eastAsia="宋体" w:hAnsi="Times New Roman"/>
                <w:b w:val="0"/>
                <w:lang w:bidi="ar"/>
              </w:rPr>
              <w:t>discharge</w:t>
            </w:r>
          </w:p>
        </w:tc>
        <w:tc>
          <w:tcPr>
            <w:tcW w:w="1785" w:type="dxa"/>
            <w:tcBorders>
              <w:top w:val="nil"/>
              <w:left w:val="nil"/>
              <w:bottom w:val="nil"/>
              <w:right w:val="nil"/>
            </w:tcBorders>
            <w:tcMar>
              <w:top w:w="-1" w:type="dxa"/>
              <w:left w:w="-1" w:type="dxa"/>
              <w:bottom w:w="-1" w:type="dxa"/>
              <w:right w:w="-1" w:type="dxa"/>
            </w:tcMar>
          </w:tcPr>
          <w:p w14:paraId="382058C4" w14:textId="77777777" w:rsidR="00C04251" w:rsidRDefault="008413FB">
            <w:pPr>
              <w:snapToGrid w:val="0"/>
              <w:rPr>
                <w:rFonts w:ascii="Times New Roman" w:hAnsi="Times New Roman"/>
              </w:rPr>
            </w:pPr>
            <w:r>
              <w:rPr>
                <w:rFonts w:ascii="Times New Roman" w:eastAsia="宋体" w:hAnsi="Times New Roman"/>
                <w:lang w:bidi="ar"/>
              </w:rPr>
              <w:t>Evaluation of blood routine-derived inflammatory indicators (including NLR, PLR, and SII) for BO prediction</w:t>
            </w:r>
          </w:p>
        </w:tc>
        <w:tc>
          <w:tcPr>
            <w:tcW w:w="2013" w:type="dxa"/>
            <w:tcBorders>
              <w:top w:val="nil"/>
              <w:left w:val="nil"/>
              <w:bottom w:val="nil"/>
              <w:right w:val="nil"/>
            </w:tcBorders>
            <w:tcMar>
              <w:top w:w="-1" w:type="dxa"/>
              <w:left w:w="-1" w:type="dxa"/>
              <w:bottom w:w="-1" w:type="dxa"/>
              <w:right w:w="-1" w:type="dxa"/>
            </w:tcMar>
          </w:tcPr>
          <w:p w14:paraId="4BFA390F" w14:textId="77777777" w:rsidR="00C04251" w:rsidRDefault="008413FB">
            <w:pPr>
              <w:snapToGrid w:val="0"/>
              <w:rPr>
                <w:rFonts w:ascii="Times New Roman" w:hAnsi="Times New Roman"/>
              </w:rPr>
            </w:pPr>
            <w:r>
              <w:rPr>
                <w:rFonts w:ascii="Times New Roman" w:eastAsia="宋体" w:hAnsi="Times New Roman"/>
                <w:lang w:bidi="ar"/>
              </w:rPr>
              <w:t xml:space="preserve">One of the three partially overlapping source cohorts. The source study focused on the </w:t>
            </w:r>
            <w:r>
              <w:rPr>
                <w:rStyle w:val="ac"/>
                <w:rFonts w:ascii="Times New Roman" w:eastAsia="宋体" w:hAnsi="Times New Roman"/>
                <w:b w:val="0"/>
                <w:lang w:bidi="ar"/>
              </w:rPr>
              <w:t>single BO outcome</w:t>
            </w:r>
            <w:r>
              <w:rPr>
                <w:rFonts w:ascii="Times New Roman" w:eastAsia="宋体" w:hAnsi="Times New Roman"/>
                <w:lang w:bidi="ar"/>
              </w:rPr>
              <w:t xml:space="preserve"> and dynamic hematologic inflammatory indices. In the current manuscript, these data were re-used within a deduplicated patient-level integrated dataset and analyzed together with other predictors for a </w:t>
            </w:r>
            <w:r>
              <w:rPr>
                <w:rStyle w:val="ac"/>
                <w:rFonts w:ascii="Times New Roman" w:eastAsia="宋体" w:hAnsi="Times New Roman"/>
                <w:b w:val="0"/>
                <w:lang w:bidi="ar"/>
              </w:rPr>
              <w:lastRenderedPageBreak/>
              <w:t>composite adverse outcome</w:t>
            </w:r>
            <w:r>
              <w:rPr>
                <w:rFonts w:ascii="Times New Roman" w:eastAsia="宋体" w:hAnsi="Times New Roman"/>
                <w:lang w:bidi="ar"/>
              </w:rPr>
              <w:t>.</w:t>
            </w:r>
          </w:p>
        </w:tc>
      </w:tr>
      <w:tr w:rsidR="00C04251" w14:paraId="27FE4611" w14:textId="77777777">
        <w:trPr>
          <w:tblCellSpacing w:w="15" w:type="dxa"/>
          <w:jc w:val="center"/>
        </w:trPr>
        <w:tc>
          <w:tcPr>
            <w:tcW w:w="1770" w:type="dxa"/>
            <w:tcBorders>
              <w:top w:val="nil"/>
              <w:left w:val="nil"/>
              <w:bottom w:val="nil"/>
              <w:right w:val="nil"/>
            </w:tcBorders>
            <w:tcMar>
              <w:top w:w="-1" w:type="dxa"/>
              <w:left w:w="-1" w:type="dxa"/>
              <w:bottom w:w="-1" w:type="dxa"/>
              <w:right w:w="-1" w:type="dxa"/>
            </w:tcMar>
          </w:tcPr>
          <w:p w14:paraId="191D6FD0" w14:textId="77777777" w:rsidR="00C04251" w:rsidRDefault="008413FB">
            <w:pPr>
              <w:snapToGrid w:val="0"/>
              <w:rPr>
                <w:rFonts w:ascii="Times New Roman" w:hAnsi="Times New Roman"/>
              </w:rPr>
            </w:pPr>
            <w:r>
              <w:rPr>
                <w:rStyle w:val="ac"/>
                <w:rFonts w:ascii="Times New Roman" w:eastAsia="宋体" w:hAnsi="Times New Roman"/>
                <w:b w:val="0"/>
                <w:lang w:bidi="ar"/>
              </w:rPr>
              <w:lastRenderedPageBreak/>
              <w:t xml:space="preserve">Hou W, Zhang L, Zhang M, Wang Y, Yan Z, Tian L. </w:t>
            </w:r>
            <w:r>
              <w:rPr>
                <w:rStyle w:val="ac"/>
                <w:rFonts w:ascii="Times New Roman" w:eastAsia="宋体" w:hAnsi="Times New Roman"/>
                <w:b w:val="0"/>
                <w:i/>
                <w:iCs/>
                <w:lang w:bidi="ar"/>
              </w:rPr>
              <w:t>Prognostic value of the neutrophil-to-lymphocyte ratio combined with blood biochemical indicators in critically ill children with adenovirus pneumonia</w:t>
            </w:r>
            <w:r>
              <w:rPr>
                <w:rStyle w:val="ac"/>
                <w:rFonts w:ascii="Times New Roman" w:eastAsia="宋体" w:hAnsi="Times New Roman"/>
                <w:b w:val="0"/>
                <w:lang w:bidi="ar"/>
              </w:rPr>
              <w:t xml:space="preserve"> [3]</w:t>
            </w:r>
          </w:p>
        </w:tc>
        <w:tc>
          <w:tcPr>
            <w:tcW w:w="815" w:type="dxa"/>
            <w:tcBorders>
              <w:top w:val="nil"/>
              <w:left w:val="nil"/>
              <w:bottom w:val="nil"/>
              <w:right w:val="nil"/>
            </w:tcBorders>
            <w:tcMar>
              <w:top w:w="-1" w:type="dxa"/>
              <w:left w:w="-1" w:type="dxa"/>
              <w:bottom w:w="-1" w:type="dxa"/>
              <w:right w:w="-1" w:type="dxa"/>
            </w:tcMar>
          </w:tcPr>
          <w:p w14:paraId="19574E84" w14:textId="77777777" w:rsidR="00C04251" w:rsidRDefault="008413FB">
            <w:pPr>
              <w:snapToGrid w:val="0"/>
              <w:rPr>
                <w:rFonts w:ascii="Times New Roman" w:hAnsi="Times New Roman"/>
              </w:rPr>
            </w:pPr>
            <w:r>
              <w:rPr>
                <w:rFonts w:ascii="Times New Roman" w:eastAsia="宋体" w:hAnsi="Times New Roman"/>
                <w:lang w:bidi="ar"/>
              </w:rPr>
              <w:t>January 2018 to June 2022</w:t>
            </w:r>
          </w:p>
        </w:tc>
        <w:tc>
          <w:tcPr>
            <w:tcW w:w="1387" w:type="dxa"/>
            <w:tcBorders>
              <w:top w:val="nil"/>
              <w:left w:val="nil"/>
              <w:bottom w:val="nil"/>
              <w:right w:val="nil"/>
            </w:tcBorders>
            <w:tcMar>
              <w:top w:w="-1" w:type="dxa"/>
              <w:left w:w="-1" w:type="dxa"/>
              <w:bottom w:w="-1" w:type="dxa"/>
              <w:right w:w="-1" w:type="dxa"/>
            </w:tcMar>
          </w:tcPr>
          <w:p w14:paraId="456BCA29" w14:textId="77777777" w:rsidR="00C04251" w:rsidRDefault="008413FB">
            <w:pPr>
              <w:snapToGrid w:val="0"/>
              <w:rPr>
                <w:rFonts w:ascii="Times New Roman" w:hAnsi="Times New Roman"/>
              </w:rPr>
            </w:pPr>
            <w:r>
              <w:rPr>
                <w:rFonts w:ascii="Times New Roman" w:eastAsia="宋体" w:hAnsi="Times New Roman"/>
                <w:lang w:bidi="ar"/>
              </w:rPr>
              <w:t xml:space="preserve">Critically ill children with adenovirus pneumonia; </w:t>
            </w:r>
            <w:r>
              <w:rPr>
                <w:rStyle w:val="ac"/>
                <w:rFonts w:ascii="Times New Roman" w:eastAsia="宋体" w:hAnsi="Times New Roman"/>
                <w:b w:val="0"/>
                <w:lang w:bidi="ar"/>
              </w:rPr>
              <w:t>n = 69</w:t>
            </w:r>
          </w:p>
        </w:tc>
        <w:tc>
          <w:tcPr>
            <w:tcW w:w="1051" w:type="dxa"/>
            <w:tcBorders>
              <w:top w:val="nil"/>
              <w:left w:val="nil"/>
              <w:bottom w:val="nil"/>
              <w:right w:val="nil"/>
            </w:tcBorders>
            <w:tcMar>
              <w:top w:w="-1" w:type="dxa"/>
              <w:left w:w="-1" w:type="dxa"/>
              <w:bottom w:w="-1" w:type="dxa"/>
              <w:right w:w="-1" w:type="dxa"/>
            </w:tcMar>
          </w:tcPr>
          <w:p w14:paraId="5337672D" w14:textId="77777777" w:rsidR="00C04251" w:rsidRDefault="008413FB">
            <w:pPr>
              <w:snapToGrid w:val="0"/>
              <w:rPr>
                <w:rFonts w:ascii="Times New Roman" w:hAnsi="Times New Roman"/>
              </w:rPr>
            </w:pPr>
            <w:r>
              <w:rPr>
                <w:rFonts w:ascii="Times New Roman" w:eastAsia="宋体" w:hAnsi="Times New Roman"/>
                <w:lang w:bidi="ar"/>
              </w:rPr>
              <w:t>In-hospital death</w:t>
            </w:r>
          </w:p>
        </w:tc>
        <w:tc>
          <w:tcPr>
            <w:tcW w:w="1251" w:type="dxa"/>
            <w:tcBorders>
              <w:top w:val="nil"/>
              <w:left w:val="nil"/>
              <w:bottom w:val="nil"/>
              <w:right w:val="nil"/>
            </w:tcBorders>
            <w:tcMar>
              <w:top w:w="-1" w:type="dxa"/>
              <w:left w:w="-1" w:type="dxa"/>
              <w:bottom w:w="-1" w:type="dxa"/>
              <w:right w:w="-1" w:type="dxa"/>
            </w:tcMar>
          </w:tcPr>
          <w:p w14:paraId="0F7E12DA" w14:textId="77777777" w:rsidR="00C04251" w:rsidRDefault="008413FB">
            <w:pPr>
              <w:snapToGrid w:val="0"/>
              <w:rPr>
                <w:rFonts w:ascii="Times New Roman" w:hAnsi="Times New Roman"/>
              </w:rPr>
            </w:pPr>
            <w:r>
              <w:rPr>
                <w:rStyle w:val="ac"/>
                <w:rFonts w:ascii="Times New Roman" w:eastAsia="宋体" w:hAnsi="Times New Roman"/>
                <w:b w:val="0"/>
                <w:lang w:bidi="ar"/>
              </w:rPr>
              <w:t>At PICU treatment initiation</w:t>
            </w:r>
          </w:p>
        </w:tc>
        <w:tc>
          <w:tcPr>
            <w:tcW w:w="1785" w:type="dxa"/>
            <w:tcBorders>
              <w:top w:val="nil"/>
              <w:left w:val="nil"/>
              <w:bottom w:val="nil"/>
              <w:right w:val="nil"/>
            </w:tcBorders>
            <w:tcMar>
              <w:top w:w="-1" w:type="dxa"/>
              <w:left w:w="-1" w:type="dxa"/>
              <w:bottom w:w="-1" w:type="dxa"/>
              <w:right w:w="-1" w:type="dxa"/>
            </w:tcMar>
          </w:tcPr>
          <w:p w14:paraId="72A5DF14" w14:textId="77777777" w:rsidR="00C04251" w:rsidRDefault="008413FB">
            <w:pPr>
              <w:snapToGrid w:val="0"/>
              <w:rPr>
                <w:rFonts w:ascii="Times New Roman" w:hAnsi="Times New Roman"/>
              </w:rPr>
            </w:pPr>
            <w:r>
              <w:rPr>
                <w:rFonts w:ascii="Times New Roman" w:eastAsia="宋体" w:hAnsi="Times New Roman"/>
                <w:lang w:bidi="ar"/>
              </w:rPr>
              <w:t xml:space="preserve">Prognostic evaluation of </w:t>
            </w:r>
            <w:r>
              <w:rPr>
                <w:rStyle w:val="ac"/>
                <w:rFonts w:ascii="Times New Roman" w:eastAsia="宋体" w:hAnsi="Times New Roman"/>
                <w:b w:val="0"/>
                <w:lang w:bidi="ar"/>
              </w:rPr>
              <w:t>NLR</w:t>
            </w:r>
            <w:r>
              <w:rPr>
                <w:rFonts w:ascii="Times New Roman" w:eastAsia="宋体" w:hAnsi="Times New Roman"/>
                <w:lang w:bidi="ar"/>
              </w:rPr>
              <w:t xml:space="preserve"> combined with </w:t>
            </w:r>
            <w:r>
              <w:rPr>
                <w:rStyle w:val="ac"/>
                <w:rFonts w:ascii="Times New Roman" w:eastAsia="宋体" w:hAnsi="Times New Roman"/>
                <w:b w:val="0"/>
                <w:lang w:bidi="ar"/>
              </w:rPr>
              <w:t>albumin</w:t>
            </w:r>
            <w:r>
              <w:rPr>
                <w:rFonts w:ascii="Times New Roman" w:eastAsia="宋体" w:hAnsi="Times New Roman"/>
                <w:lang w:bidi="ar"/>
              </w:rPr>
              <w:t xml:space="preserve">, </w:t>
            </w:r>
            <w:r>
              <w:rPr>
                <w:rStyle w:val="ac"/>
                <w:rFonts w:ascii="Times New Roman" w:eastAsia="宋体" w:hAnsi="Times New Roman"/>
                <w:b w:val="0"/>
                <w:lang w:bidi="ar"/>
              </w:rPr>
              <w:t>AST</w:t>
            </w:r>
            <w:r>
              <w:rPr>
                <w:rFonts w:ascii="Times New Roman" w:eastAsia="宋体" w:hAnsi="Times New Roman"/>
                <w:lang w:bidi="ar"/>
              </w:rPr>
              <w:t xml:space="preserve">, and </w:t>
            </w:r>
            <w:r>
              <w:rPr>
                <w:rStyle w:val="ac"/>
                <w:rFonts w:ascii="Times New Roman" w:eastAsia="宋体" w:hAnsi="Times New Roman"/>
                <w:b w:val="0"/>
                <w:lang w:bidi="ar"/>
              </w:rPr>
              <w:t>LDH</w:t>
            </w:r>
            <w:r>
              <w:rPr>
                <w:rFonts w:ascii="Times New Roman" w:eastAsia="宋体" w:hAnsi="Times New Roman"/>
                <w:lang w:bidi="ar"/>
              </w:rPr>
              <w:t>; correlation, logistic regression, ROC, and Kaplan-Meier analyses</w:t>
            </w:r>
          </w:p>
        </w:tc>
        <w:tc>
          <w:tcPr>
            <w:tcW w:w="2013" w:type="dxa"/>
            <w:tcBorders>
              <w:top w:val="nil"/>
              <w:left w:val="nil"/>
              <w:bottom w:val="nil"/>
              <w:right w:val="nil"/>
            </w:tcBorders>
            <w:tcMar>
              <w:top w:w="-1" w:type="dxa"/>
              <w:left w:w="-1" w:type="dxa"/>
              <w:bottom w:w="-1" w:type="dxa"/>
              <w:right w:w="-1" w:type="dxa"/>
            </w:tcMar>
          </w:tcPr>
          <w:p w14:paraId="606BF0B5" w14:textId="77777777" w:rsidR="00C04251" w:rsidRDefault="008413FB">
            <w:pPr>
              <w:snapToGrid w:val="0"/>
              <w:rPr>
                <w:rFonts w:ascii="Times New Roman" w:hAnsi="Times New Roman"/>
              </w:rPr>
            </w:pPr>
            <w:r>
              <w:rPr>
                <w:rFonts w:ascii="Times New Roman" w:eastAsia="宋体" w:hAnsi="Times New Roman"/>
                <w:lang w:bidi="ar"/>
              </w:rPr>
              <w:t xml:space="preserve">One of the three partially overlapping source cohorts. Compared with the current manuscript, this study addressed </w:t>
            </w:r>
            <w:r>
              <w:rPr>
                <w:rStyle w:val="ac"/>
                <w:rFonts w:ascii="Times New Roman" w:eastAsia="宋体" w:hAnsi="Times New Roman"/>
                <w:b w:val="0"/>
                <w:lang w:bidi="ar"/>
              </w:rPr>
              <w:t>mortality only</w:t>
            </w:r>
            <w:r>
              <w:rPr>
                <w:rFonts w:ascii="Times New Roman" w:eastAsia="宋体" w:hAnsi="Times New Roman"/>
                <w:lang w:bidi="ar"/>
              </w:rPr>
              <w:t xml:space="preserve"> at a </w:t>
            </w:r>
            <w:r>
              <w:rPr>
                <w:rStyle w:val="ac"/>
                <w:rFonts w:ascii="Times New Roman" w:eastAsia="宋体" w:hAnsi="Times New Roman"/>
                <w:b w:val="0"/>
                <w:lang w:bidi="ar"/>
              </w:rPr>
              <w:t>single PICU-centered time point</w:t>
            </w:r>
            <w:r>
              <w:rPr>
                <w:rFonts w:ascii="Times New Roman" w:eastAsia="宋体" w:hAnsi="Times New Roman"/>
                <w:lang w:bidi="ar"/>
              </w:rPr>
              <w:t xml:space="preserve"> with a simpler predictive framework. In the integrated analysis, these data were absorbed into a harmonized cohort rather than treated as a stand-alone mortality dataset.</w:t>
            </w:r>
          </w:p>
        </w:tc>
      </w:tr>
      <w:tr w:rsidR="00C04251" w14:paraId="13049866" w14:textId="77777777">
        <w:trPr>
          <w:tblCellSpacing w:w="15" w:type="dxa"/>
          <w:jc w:val="center"/>
        </w:trPr>
        <w:tc>
          <w:tcPr>
            <w:tcW w:w="1770" w:type="dxa"/>
            <w:tcBorders>
              <w:top w:val="nil"/>
              <w:left w:val="nil"/>
              <w:bottom w:val="single" w:sz="12" w:space="0" w:color="auto"/>
              <w:right w:val="nil"/>
            </w:tcBorders>
            <w:tcMar>
              <w:top w:w="-1" w:type="dxa"/>
              <w:left w:w="-1" w:type="dxa"/>
              <w:bottom w:w="-1" w:type="dxa"/>
              <w:right w:w="-1" w:type="dxa"/>
            </w:tcMar>
          </w:tcPr>
          <w:p w14:paraId="60D2CCBF" w14:textId="77777777" w:rsidR="00C04251" w:rsidRDefault="008413FB">
            <w:pPr>
              <w:snapToGrid w:val="0"/>
              <w:rPr>
                <w:rFonts w:ascii="Times New Roman" w:hAnsi="Times New Roman"/>
              </w:rPr>
            </w:pPr>
            <w:r>
              <w:rPr>
                <w:rStyle w:val="ac"/>
                <w:rFonts w:ascii="Times New Roman" w:eastAsia="宋体" w:hAnsi="Times New Roman"/>
                <w:b w:val="0"/>
                <w:lang w:bidi="ar"/>
              </w:rPr>
              <w:t>Current integrated analysis</w:t>
            </w:r>
          </w:p>
        </w:tc>
        <w:tc>
          <w:tcPr>
            <w:tcW w:w="815" w:type="dxa"/>
            <w:tcBorders>
              <w:top w:val="nil"/>
              <w:left w:val="nil"/>
              <w:bottom w:val="single" w:sz="12" w:space="0" w:color="auto"/>
              <w:right w:val="nil"/>
            </w:tcBorders>
            <w:tcMar>
              <w:top w:w="-1" w:type="dxa"/>
              <w:left w:w="-1" w:type="dxa"/>
              <w:bottom w:w="-1" w:type="dxa"/>
              <w:right w:w="-1" w:type="dxa"/>
            </w:tcMar>
          </w:tcPr>
          <w:p w14:paraId="12059BAC" w14:textId="77777777" w:rsidR="00C04251" w:rsidRDefault="008413FB">
            <w:pPr>
              <w:snapToGrid w:val="0"/>
              <w:rPr>
                <w:rFonts w:ascii="Times New Roman" w:hAnsi="Times New Roman"/>
              </w:rPr>
            </w:pPr>
            <w:r>
              <w:rPr>
                <w:rFonts w:ascii="Times New Roman" w:eastAsia="宋体" w:hAnsi="Times New Roman"/>
                <w:lang w:bidi="ar"/>
              </w:rPr>
              <w:t>January 2017 to June 2023</w:t>
            </w:r>
          </w:p>
        </w:tc>
        <w:tc>
          <w:tcPr>
            <w:tcW w:w="1387" w:type="dxa"/>
            <w:tcBorders>
              <w:top w:val="nil"/>
              <w:left w:val="nil"/>
              <w:bottom w:val="single" w:sz="12" w:space="0" w:color="auto"/>
              <w:right w:val="nil"/>
            </w:tcBorders>
            <w:tcMar>
              <w:top w:w="-1" w:type="dxa"/>
              <w:left w:w="-1" w:type="dxa"/>
              <w:bottom w:w="-1" w:type="dxa"/>
              <w:right w:w="-1" w:type="dxa"/>
            </w:tcMar>
          </w:tcPr>
          <w:p w14:paraId="7C31D89E" w14:textId="77777777" w:rsidR="00C04251" w:rsidRDefault="008413FB">
            <w:pPr>
              <w:snapToGrid w:val="0"/>
              <w:rPr>
                <w:rFonts w:ascii="Times New Roman" w:hAnsi="Times New Roman"/>
              </w:rPr>
            </w:pPr>
            <w:r>
              <w:rPr>
                <w:rFonts w:ascii="Times New Roman" w:eastAsia="宋体" w:hAnsi="Times New Roman"/>
                <w:lang w:bidi="ar"/>
              </w:rPr>
              <w:t xml:space="preserve">Initial pooled records </w:t>
            </w:r>
            <w:r>
              <w:rPr>
                <w:rStyle w:val="ac"/>
                <w:rFonts w:ascii="Times New Roman" w:eastAsia="宋体" w:hAnsi="Times New Roman"/>
                <w:b w:val="0"/>
                <w:lang w:bidi="ar"/>
              </w:rPr>
              <w:t>n = 105</w:t>
            </w:r>
            <w:r>
              <w:rPr>
                <w:rFonts w:ascii="Times New Roman" w:eastAsia="宋体" w:hAnsi="Times New Roman"/>
                <w:lang w:bidi="ar"/>
              </w:rPr>
              <w:t xml:space="preserve">; </w:t>
            </w:r>
            <w:r>
              <w:rPr>
                <w:rStyle w:val="ac"/>
                <w:rFonts w:ascii="Times New Roman" w:eastAsia="宋体" w:hAnsi="Times New Roman"/>
                <w:b w:val="0"/>
                <w:lang w:bidi="ar"/>
              </w:rPr>
              <w:t>5 duplicates removed</w:t>
            </w:r>
            <w:r>
              <w:rPr>
                <w:rFonts w:ascii="Times New Roman" w:eastAsia="宋体" w:hAnsi="Times New Roman"/>
                <w:lang w:bidi="ar"/>
              </w:rPr>
              <w:t xml:space="preserve">; </w:t>
            </w:r>
            <w:r>
              <w:rPr>
                <w:rStyle w:val="ac"/>
                <w:rFonts w:ascii="Times New Roman" w:eastAsia="宋体" w:hAnsi="Times New Roman"/>
                <w:b w:val="0"/>
                <w:lang w:bidi="ar"/>
              </w:rPr>
              <w:t>10 additional exclusions</w:t>
            </w:r>
            <w:r>
              <w:rPr>
                <w:rFonts w:ascii="Times New Roman" w:eastAsia="宋体" w:hAnsi="Times New Roman"/>
                <w:lang w:bidi="ar"/>
              </w:rPr>
              <w:t xml:space="preserve">; final cohort </w:t>
            </w:r>
            <w:r>
              <w:rPr>
                <w:rStyle w:val="ac"/>
                <w:rFonts w:ascii="Times New Roman" w:eastAsia="宋体" w:hAnsi="Times New Roman"/>
                <w:b w:val="0"/>
                <w:lang w:bidi="ar"/>
              </w:rPr>
              <w:t>n = 90</w:t>
            </w:r>
            <w:r>
              <w:rPr>
                <w:rFonts w:ascii="Times New Roman" w:eastAsia="宋体" w:hAnsi="Times New Roman"/>
                <w:lang w:bidi="ar"/>
              </w:rPr>
              <w:t xml:space="preserve"> unique patients</w:t>
            </w:r>
          </w:p>
        </w:tc>
        <w:tc>
          <w:tcPr>
            <w:tcW w:w="1051" w:type="dxa"/>
            <w:tcBorders>
              <w:top w:val="nil"/>
              <w:left w:val="nil"/>
              <w:bottom w:val="single" w:sz="12" w:space="0" w:color="auto"/>
              <w:right w:val="nil"/>
            </w:tcBorders>
            <w:tcMar>
              <w:top w:w="-1" w:type="dxa"/>
              <w:left w:w="-1" w:type="dxa"/>
              <w:bottom w:w="-1" w:type="dxa"/>
              <w:right w:w="-1" w:type="dxa"/>
            </w:tcMar>
          </w:tcPr>
          <w:p w14:paraId="1F501C03" w14:textId="77777777" w:rsidR="00C04251" w:rsidRDefault="008413FB">
            <w:pPr>
              <w:snapToGrid w:val="0"/>
              <w:rPr>
                <w:rFonts w:ascii="Times New Roman" w:hAnsi="Times New Roman"/>
              </w:rPr>
            </w:pPr>
            <w:r>
              <w:rPr>
                <w:rFonts w:ascii="Times New Roman" w:eastAsia="宋体" w:hAnsi="Times New Roman"/>
                <w:lang w:bidi="ar"/>
              </w:rPr>
              <w:t xml:space="preserve">Composite adverse outcome: </w:t>
            </w:r>
            <w:r>
              <w:rPr>
                <w:rStyle w:val="ac"/>
                <w:rFonts w:ascii="Times New Roman" w:eastAsia="宋体" w:hAnsi="Times New Roman"/>
                <w:b w:val="0"/>
                <w:lang w:bidi="ar"/>
              </w:rPr>
              <w:t>in-hospital death or bronchiolitis obliterans</w:t>
            </w:r>
          </w:p>
        </w:tc>
        <w:tc>
          <w:tcPr>
            <w:tcW w:w="1251" w:type="dxa"/>
            <w:tcBorders>
              <w:top w:val="nil"/>
              <w:left w:val="nil"/>
              <w:bottom w:val="single" w:sz="12" w:space="0" w:color="auto"/>
              <w:right w:val="nil"/>
            </w:tcBorders>
            <w:tcMar>
              <w:top w:w="-1" w:type="dxa"/>
              <w:left w:w="-1" w:type="dxa"/>
              <w:bottom w:w="-1" w:type="dxa"/>
              <w:right w:w="-1" w:type="dxa"/>
            </w:tcMar>
          </w:tcPr>
          <w:p w14:paraId="5F4F673F" w14:textId="77777777" w:rsidR="00C04251" w:rsidRDefault="008413FB">
            <w:pPr>
              <w:snapToGrid w:val="0"/>
              <w:rPr>
                <w:rFonts w:ascii="Times New Roman" w:hAnsi="Times New Roman"/>
              </w:rPr>
            </w:pPr>
            <w:r>
              <w:rPr>
                <w:rFonts w:ascii="Times New Roman" w:eastAsia="宋体" w:hAnsi="Times New Roman"/>
                <w:lang w:bidi="ar"/>
              </w:rPr>
              <w:t xml:space="preserve">Harmonized as </w:t>
            </w:r>
            <w:r>
              <w:rPr>
                <w:rStyle w:val="ac"/>
                <w:rFonts w:ascii="Times New Roman" w:eastAsia="宋体" w:hAnsi="Times New Roman"/>
                <w:b w:val="0"/>
                <w:lang w:bidi="ar"/>
              </w:rPr>
              <w:t>baseline</w:t>
            </w:r>
            <w:r>
              <w:rPr>
                <w:rFonts w:ascii="Times New Roman" w:eastAsia="宋体" w:hAnsi="Times New Roman"/>
                <w:lang w:bidi="ar"/>
              </w:rPr>
              <w:t xml:space="preserve"> and </w:t>
            </w:r>
            <w:r>
              <w:rPr>
                <w:rStyle w:val="ac"/>
                <w:rFonts w:ascii="Times New Roman" w:eastAsia="宋体" w:hAnsi="Times New Roman"/>
                <w:b w:val="0"/>
                <w:lang w:bidi="ar"/>
              </w:rPr>
              <w:t>treatment-intensive phase (days 5–9; anchored at day 7, with days 4–10 as backup)</w:t>
            </w:r>
          </w:p>
        </w:tc>
        <w:tc>
          <w:tcPr>
            <w:tcW w:w="1785" w:type="dxa"/>
            <w:tcBorders>
              <w:top w:val="nil"/>
              <w:left w:val="nil"/>
              <w:bottom w:val="single" w:sz="12" w:space="0" w:color="auto"/>
              <w:right w:val="nil"/>
            </w:tcBorders>
            <w:tcMar>
              <w:top w:w="-1" w:type="dxa"/>
              <w:left w:w="-1" w:type="dxa"/>
              <w:bottom w:w="-1" w:type="dxa"/>
              <w:right w:w="-1" w:type="dxa"/>
            </w:tcMar>
          </w:tcPr>
          <w:p w14:paraId="0438B2A8" w14:textId="77777777" w:rsidR="00C04251" w:rsidRDefault="008413FB">
            <w:pPr>
              <w:snapToGrid w:val="0"/>
              <w:rPr>
                <w:rFonts w:ascii="Times New Roman" w:hAnsi="Times New Roman"/>
              </w:rPr>
            </w:pPr>
            <w:r>
              <w:rPr>
                <w:rStyle w:val="ac"/>
                <w:rFonts w:ascii="Times New Roman" w:eastAsia="宋体" w:hAnsi="Times New Roman"/>
                <w:b w:val="0"/>
                <w:lang w:bidi="ar"/>
              </w:rPr>
              <w:t>LASSO</w:t>
            </w:r>
            <w:r>
              <w:rPr>
                <w:rFonts w:ascii="Times New Roman" w:eastAsia="宋体" w:hAnsi="Times New Roman"/>
                <w:lang w:bidi="ar"/>
              </w:rPr>
              <w:t xml:space="preserve"> screening, multivariable logistic regression, </w:t>
            </w:r>
            <w:r>
              <w:rPr>
                <w:rStyle w:val="ac"/>
                <w:rFonts w:ascii="Times New Roman" w:eastAsia="宋体" w:hAnsi="Times New Roman"/>
                <w:b w:val="0"/>
                <w:lang w:bidi="ar"/>
              </w:rPr>
              <w:t>AIC</w:t>
            </w:r>
            <w:r>
              <w:rPr>
                <w:rFonts w:ascii="Times New Roman" w:eastAsia="宋体" w:hAnsi="Times New Roman"/>
                <w:lang w:bidi="ar"/>
              </w:rPr>
              <w:t xml:space="preserve"> simplification, </w:t>
            </w:r>
            <w:r>
              <w:rPr>
                <w:rStyle w:val="ac"/>
                <w:rFonts w:ascii="Times New Roman" w:eastAsia="宋体" w:hAnsi="Times New Roman"/>
                <w:b w:val="0"/>
                <w:lang w:bidi="ar"/>
              </w:rPr>
              <w:t>bootstrap internal validation</w:t>
            </w:r>
            <w:r>
              <w:rPr>
                <w:rFonts w:ascii="Times New Roman" w:eastAsia="宋体" w:hAnsi="Times New Roman"/>
                <w:lang w:bidi="ar"/>
              </w:rPr>
              <w:t xml:space="preserve">, calibration, </w:t>
            </w:r>
            <w:r>
              <w:rPr>
                <w:rStyle w:val="ac"/>
                <w:rFonts w:ascii="Times New Roman" w:eastAsia="宋体" w:hAnsi="Times New Roman"/>
                <w:b w:val="0"/>
                <w:lang w:bidi="ar"/>
              </w:rPr>
              <w:t>DCA</w:t>
            </w:r>
            <w:r>
              <w:rPr>
                <w:rFonts w:ascii="Times New Roman" w:eastAsia="宋体" w:hAnsi="Times New Roman"/>
                <w:lang w:bidi="ar"/>
              </w:rPr>
              <w:t>, and derivation of a bedside integer score</w:t>
            </w:r>
          </w:p>
        </w:tc>
        <w:tc>
          <w:tcPr>
            <w:tcW w:w="2013" w:type="dxa"/>
            <w:tcBorders>
              <w:top w:val="nil"/>
              <w:left w:val="nil"/>
              <w:bottom w:val="single" w:sz="12" w:space="0" w:color="auto"/>
              <w:right w:val="nil"/>
            </w:tcBorders>
            <w:tcMar>
              <w:top w:w="-1" w:type="dxa"/>
              <w:left w:w="-1" w:type="dxa"/>
              <w:bottom w:w="-1" w:type="dxa"/>
              <w:right w:w="-1" w:type="dxa"/>
            </w:tcMar>
          </w:tcPr>
          <w:p w14:paraId="0E2A978C" w14:textId="77777777" w:rsidR="00C04251" w:rsidRDefault="008413FB">
            <w:pPr>
              <w:snapToGrid w:val="0"/>
              <w:rPr>
                <w:rFonts w:ascii="Times New Roman" w:hAnsi="Times New Roman"/>
              </w:rPr>
            </w:pPr>
            <w:r>
              <w:rPr>
                <w:rFonts w:ascii="Times New Roman" w:eastAsia="宋体" w:hAnsi="Times New Roman"/>
                <w:lang w:bidi="ar"/>
              </w:rPr>
              <w:t xml:space="preserve">This manuscript differs from the prior source studies by transparently acknowledging </w:t>
            </w:r>
            <w:r>
              <w:rPr>
                <w:rStyle w:val="ac"/>
                <w:rFonts w:ascii="Times New Roman" w:eastAsia="宋体" w:hAnsi="Times New Roman"/>
                <w:b w:val="0"/>
                <w:lang w:bidi="ar"/>
              </w:rPr>
              <w:t>source overlap</w:t>
            </w:r>
            <w:r>
              <w:rPr>
                <w:rFonts w:ascii="Times New Roman" w:eastAsia="宋体" w:hAnsi="Times New Roman"/>
                <w:lang w:bidi="ar"/>
              </w:rPr>
              <w:t xml:space="preserve">, performing </w:t>
            </w:r>
            <w:r>
              <w:rPr>
                <w:rStyle w:val="ac"/>
                <w:rFonts w:ascii="Times New Roman" w:eastAsia="宋体" w:hAnsi="Times New Roman"/>
                <w:b w:val="0"/>
                <w:lang w:bidi="ar"/>
              </w:rPr>
              <w:t>patient-level deduplication</w:t>
            </w:r>
            <w:r>
              <w:rPr>
                <w:rFonts w:ascii="Times New Roman" w:eastAsia="宋体" w:hAnsi="Times New Roman"/>
                <w:lang w:bidi="ar"/>
              </w:rPr>
              <w:t xml:space="preserve">, harmonizing predictors and observation windows, and developing an </w:t>
            </w:r>
            <w:r>
              <w:rPr>
                <w:rStyle w:val="ac"/>
                <w:rFonts w:ascii="Times New Roman" w:eastAsia="宋体" w:hAnsi="Times New Roman"/>
                <w:b w:val="0"/>
                <w:lang w:bidi="ar"/>
              </w:rPr>
              <w:t>internally validated multivariable prediction model</w:t>
            </w:r>
            <w:r>
              <w:rPr>
                <w:rFonts w:ascii="Times New Roman" w:eastAsia="宋体" w:hAnsi="Times New Roman"/>
                <w:lang w:bidi="ar"/>
              </w:rPr>
              <w:t xml:space="preserve"> for a </w:t>
            </w:r>
            <w:r>
              <w:rPr>
                <w:rStyle w:val="ac"/>
                <w:rFonts w:ascii="Times New Roman" w:eastAsia="宋体" w:hAnsi="Times New Roman"/>
                <w:b w:val="0"/>
                <w:lang w:bidi="ar"/>
              </w:rPr>
              <w:t>clinically relevant composite outcome</w:t>
            </w:r>
            <w:r>
              <w:rPr>
                <w:rFonts w:ascii="Times New Roman" w:eastAsia="宋体" w:hAnsi="Times New Roman"/>
                <w:lang w:bidi="ar"/>
              </w:rPr>
              <w:t>, rather than re-reporting a single biomarker for a single endpoint.</w:t>
            </w:r>
          </w:p>
        </w:tc>
      </w:tr>
    </w:tbl>
    <w:p w14:paraId="32573FEC" w14:textId="77777777" w:rsidR="00C04251" w:rsidRDefault="008413FB">
      <w:pPr>
        <w:rPr>
          <w:rFonts w:ascii="Times New Roman" w:hAnsi="Times New Roman"/>
        </w:rPr>
      </w:pPr>
      <w:r>
        <w:rPr>
          <w:rFonts w:ascii="Times New Roman" w:hAnsi="Times New Roman" w:hint="eastAsia"/>
        </w:rPr>
        <w:t>References</w:t>
      </w:r>
    </w:p>
    <w:p w14:paraId="583C036B" w14:textId="77777777" w:rsidR="00C04251" w:rsidRDefault="00C04251">
      <w:pPr>
        <w:rPr>
          <w:rFonts w:ascii="Times New Roman" w:hAnsi="Times New Roman"/>
        </w:rPr>
      </w:pPr>
    </w:p>
    <w:p w14:paraId="115C130A" w14:textId="5EBB2AAE" w:rsidR="00C04251" w:rsidRDefault="008413FB">
      <w:pPr>
        <w:rPr>
          <w:rFonts w:ascii="Times New Roman" w:hAnsi="Times New Roman"/>
        </w:rPr>
      </w:pPr>
      <w:r>
        <w:rPr>
          <w:rFonts w:ascii="Times New Roman" w:eastAsia="Times New Roman" w:hAnsi="Times New Roman" w:hint="eastAsia"/>
        </w:rPr>
        <w:lastRenderedPageBreak/>
        <w:t>[1] Hou W, Zhang L, Wang Y, Jia M, Ma W, Tian L. Dynamic changes and significance of NLR and blood biochemical indexes in children with severe adenovirus pneumonia. Journal of Tropical Medicine. 2024;</w:t>
      </w:r>
      <w:r w:rsidR="0000673B">
        <w:rPr>
          <w:rFonts w:ascii="Times New Roman" w:eastAsia="Times New Roman" w:hAnsi="Times New Roman"/>
        </w:rPr>
        <w:t xml:space="preserve"> </w:t>
      </w:r>
      <w:r>
        <w:rPr>
          <w:rFonts w:ascii="Times New Roman" w:eastAsia="Times New Roman" w:hAnsi="Times New Roman" w:hint="eastAsia"/>
        </w:rPr>
        <w:t>24:</w:t>
      </w:r>
      <w:r w:rsidR="0000673B">
        <w:rPr>
          <w:rFonts w:ascii="Times New Roman" w:eastAsia="Times New Roman" w:hAnsi="Times New Roman"/>
        </w:rPr>
        <w:t xml:space="preserve"> </w:t>
      </w:r>
      <w:r>
        <w:rPr>
          <w:rFonts w:ascii="Times New Roman" w:eastAsia="Times New Roman" w:hAnsi="Times New Roman" w:hint="eastAsia"/>
        </w:rPr>
        <w:t>55–58. https://doi.org/10.3969/j.issn.1672-3619.2024.01.012</w:t>
      </w:r>
    </w:p>
    <w:p w14:paraId="14532114" w14:textId="77777777" w:rsidR="00C04251" w:rsidRDefault="00C04251">
      <w:pPr>
        <w:rPr>
          <w:rFonts w:ascii="Times New Roman" w:hAnsi="Times New Roman"/>
        </w:rPr>
      </w:pPr>
    </w:p>
    <w:p w14:paraId="5428C9D1" w14:textId="219DF450" w:rsidR="00C04251" w:rsidRDefault="008413FB">
      <w:pPr>
        <w:rPr>
          <w:rFonts w:ascii="Times New Roman" w:hAnsi="Times New Roman"/>
        </w:rPr>
      </w:pPr>
      <w:r>
        <w:rPr>
          <w:rFonts w:ascii="Times New Roman" w:eastAsia="Times New Roman" w:hAnsi="Times New Roman" w:hint="eastAsia"/>
        </w:rPr>
        <w:t xml:space="preserve">[2] Hou W, Li Q, Wang Y, Zhang M, Zhang L, Tian L. Predictive value of blood routine-derived inflammatory indicators for bronchiolitis obliterans in children with severe adenovirus pneumonia. Practical Journal of Cardiac Cerebral </w:t>
      </w:r>
      <w:proofErr w:type="spellStart"/>
      <w:r>
        <w:rPr>
          <w:rFonts w:ascii="Times New Roman" w:eastAsia="Times New Roman" w:hAnsi="Times New Roman" w:hint="eastAsia"/>
        </w:rPr>
        <w:t>Pneumal</w:t>
      </w:r>
      <w:proofErr w:type="spellEnd"/>
      <w:r>
        <w:rPr>
          <w:rFonts w:ascii="Times New Roman" w:eastAsia="Times New Roman" w:hAnsi="Times New Roman" w:hint="eastAsia"/>
        </w:rPr>
        <w:t xml:space="preserve"> and Vascular Disease. 2024;</w:t>
      </w:r>
      <w:r w:rsidR="0000673B">
        <w:rPr>
          <w:rFonts w:ascii="Times New Roman" w:eastAsia="Times New Roman" w:hAnsi="Times New Roman"/>
        </w:rPr>
        <w:t xml:space="preserve"> </w:t>
      </w:r>
      <w:r>
        <w:rPr>
          <w:rFonts w:ascii="Times New Roman" w:eastAsia="Times New Roman" w:hAnsi="Times New Roman" w:hint="eastAsia"/>
        </w:rPr>
        <w:t>32:</w:t>
      </w:r>
      <w:r w:rsidR="0000673B">
        <w:rPr>
          <w:rFonts w:ascii="Times New Roman" w:eastAsia="Times New Roman" w:hAnsi="Times New Roman"/>
        </w:rPr>
        <w:t xml:space="preserve"> </w:t>
      </w:r>
      <w:r>
        <w:rPr>
          <w:rFonts w:ascii="Times New Roman" w:eastAsia="Times New Roman" w:hAnsi="Times New Roman" w:hint="eastAsia"/>
        </w:rPr>
        <w:t>59–63.</w:t>
      </w:r>
      <w:r w:rsidR="0000673B">
        <w:rPr>
          <w:rFonts w:ascii="Times New Roman" w:eastAsia="Times New Roman" w:hAnsi="Times New Roman"/>
        </w:rPr>
        <w:t xml:space="preserve"> (I</w:t>
      </w:r>
      <w:r w:rsidR="0000673B">
        <w:rPr>
          <w:rFonts w:ascii="Times New Roman" w:eastAsia="Times New Roman" w:hAnsi="Times New Roman" w:hint="eastAsia"/>
        </w:rPr>
        <w:t>n Chinese</w:t>
      </w:r>
      <w:r w:rsidR="0000673B">
        <w:rPr>
          <w:rFonts w:ascii="Times New Roman" w:eastAsia="Times New Roman" w:hAnsi="Times New Roman"/>
        </w:rPr>
        <w:t>)</w:t>
      </w:r>
    </w:p>
    <w:p w14:paraId="3BD330B1" w14:textId="77777777" w:rsidR="00C04251" w:rsidRDefault="00C04251">
      <w:pPr>
        <w:rPr>
          <w:rFonts w:ascii="Times New Roman" w:hAnsi="Times New Roman"/>
        </w:rPr>
      </w:pPr>
    </w:p>
    <w:p w14:paraId="6BC64929" w14:textId="573A2C41" w:rsidR="0000673B" w:rsidRDefault="008413FB" w:rsidP="0000673B">
      <w:pPr>
        <w:rPr>
          <w:rFonts w:ascii="Times New Roman" w:hAnsi="Times New Roman"/>
        </w:rPr>
      </w:pPr>
      <w:r>
        <w:rPr>
          <w:rFonts w:ascii="Times New Roman" w:eastAsia="Times New Roman" w:hAnsi="Times New Roman" w:hint="eastAsia"/>
        </w:rPr>
        <w:t>[3] Hou W, Zhang L, Zhang M, Wang Y, Yan Z, Tian L. Prognostic value of the neutrophil-to-lymphocyte ratio combined with blood biochemical indicators in critically ill children with adenovirus pneumonia. Chinese Journal of Health Laboratory Technology. 2023;</w:t>
      </w:r>
      <w:r w:rsidR="0000673B">
        <w:rPr>
          <w:rFonts w:ascii="Times New Roman" w:eastAsia="Times New Roman" w:hAnsi="Times New Roman"/>
        </w:rPr>
        <w:t xml:space="preserve"> </w:t>
      </w:r>
      <w:r>
        <w:rPr>
          <w:rFonts w:ascii="Times New Roman" w:eastAsia="Times New Roman" w:hAnsi="Times New Roman" w:hint="eastAsia"/>
        </w:rPr>
        <w:t>33:</w:t>
      </w:r>
      <w:r w:rsidR="0000673B">
        <w:rPr>
          <w:rFonts w:ascii="Times New Roman" w:eastAsia="Times New Roman" w:hAnsi="Times New Roman"/>
        </w:rPr>
        <w:t xml:space="preserve"> </w:t>
      </w:r>
      <w:r>
        <w:rPr>
          <w:rFonts w:ascii="Times New Roman" w:eastAsia="Times New Roman" w:hAnsi="Times New Roman" w:hint="eastAsia"/>
        </w:rPr>
        <w:t>1468–1472.</w:t>
      </w:r>
      <w:r w:rsidR="0000673B" w:rsidRPr="0000673B">
        <w:rPr>
          <w:rFonts w:ascii="Times New Roman" w:eastAsia="Times New Roman" w:hAnsi="Times New Roman"/>
        </w:rPr>
        <w:t xml:space="preserve"> </w:t>
      </w:r>
      <w:r w:rsidR="0000673B">
        <w:rPr>
          <w:rFonts w:ascii="Times New Roman" w:eastAsia="Times New Roman" w:hAnsi="Times New Roman"/>
        </w:rPr>
        <w:t>(I</w:t>
      </w:r>
      <w:r w:rsidR="0000673B">
        <w:rPr>
          <w:rFonts w:ascii="Times New Roman" w:eastAsia="Times New Roman" w:hAnsi="Times New Roman" w:hint="eastAsia"/>
        </w:rPr>
        <w:t>n Chinese</w:t>
      </w:r>
      <w:r w:rsidR="0000673B">
        <w:rPr>
          <w:rFonts w:ascii="Times New Roman" w:eastAsia="Times New Roman" w:hAnsi="Times New Roman"/>
        </w:rPr>
        <w:t>)</w:t>
      </w:r>
    </w:p>
    <w:p w14:paraId="2FFFC101" w14:textId="30F1A53A" w:rsidR="00C04251" w:rsidRDefault="00C04251">
      <w:pPr>
        <w:rPr>
          <w:rFonts w:ascii="Times New Roman" w:hAnsi="Times New Roman"/>
        </w:rPr>
      </w:pPr>
    </w:p>
    <w:p w14:paraId="019C20E1" w14:textId="77777777" w:rsidR="00C04251" w:rsidRDefault="00C04251">
      <w:pPr>
        <w:rPr>
          <w:rFonts w:ascii="Times New Roman" w:hAnsi="Times New Roman"/>
        </w:rPr>
      </w:pPr>
    </w:p>
    <w:sectPr w:rsidR="00C04251">
      <w:pgSz w:w="11906" w:h="16839"/>
      <w:pgMar w:top="1440" w:right="1440" w:bottom="1440" w:left="1440" w:header="851" w:footer="992" w:gutter="0"/>
      <w:cols w:space="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48D6B" w14:textId="77777777" w:rsidR="00C66FED" w:rsidRDefault="00C66FED">
      <w:pPr>
        <w:rPr>
          <w:rFonts w:hint="eastAsia"/>
        </w:rPr>
      </w:pPr>
      <w:r>
        <w:separator/>
      </w:r>
    </w:p>
  </w:endnote>
  <w:endnote w:type="continuationSeparator" w:id="0">
    <w:p w14:paraId="30484828" w14:textId="77777777" w:rsidR="00C66FED" w:rsidRDefault="00C66FE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74025" w14:textId="77777777" w:rsidR="00C66FED" w:rsidRDefault="00C66FED">
      <w:pPr>
        <w:rPr>
          <w:rFonts w:hint="eastAsia"/>
        </w:rPr>
      </w:pPr>
      <w:r>
        <w:separator/>
      </w:r>
    </w:p>
  </w:footnote>
  <w:footnote w:type="continuationSeparator" w:id="0">
    <w:p w14:paraId="1D907B21" w14:textId="77777777" w:rsidR="00C66FED" w:rsidRDefault="00C66FED">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D2E"/>
    <w:rsid w:val="0000673B"/>
    <w:rsid w:val="00015211"/>
    <w:rsid w:val="004342CE"/>
    <w:rsid w:val="00534728"/>
    <w:rsid w:val="00537D10"/>
    <w:rsid w:val="00564D2E"/>
    <w:rsid w:val="00664107"/>
    <w:rsid w:val="006A5A0C"/>
    <w:rsid w:val="007F2D46"/>
    <w:rsid w:val="008413FB"/>
    <w:rsid w:val="00867B15"/>
    <w:rsid w:val="009F3EF7"/>
    <w:rsid w:val="00A03452"/>
    <w:rsid w:val="00A115CC"/>
    <w:rsid w:val="00B302D4"/>
    <w:rsid w:val="00BB647F"/>
    <w:rsid w:val="00C04251"/>
    <w:rsid w:val="00C66FED"/>
    <w:rsid w:val="00CA0ACE"/>
    <w:rsid w:val="00E40ADD"/>
    <w:rsid w:val="16FB395F"/>
    <w:rsid w:val="3D45643F"/>
    <w:rsid w:val="4BAA65D7"/>
    <w:rsid w:val="72DF54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D8FA2"/>
  <w15:docId w15:val="{4F75B3AD-F87B-42F0-A6EC-BC6F2912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673B"/>
    <w:rPr>
      <w:rFonts w:asciiTheme="minorEastAsia" w:eastAsiaTheme="minorEastAsia" w:hAnsiTheme="minorEastAsia"/>
      <w:sz w:val="24"/>
      <w:szCs w:val="24"/>
    </w:rPr>
  </w:style>
  <w:style w:type="paragraph" w:styleId="1">
    <w:name w:val="heading 1"/>
    <w:basedOn w:val="a"/>
    <w:next w:val="a"/>
    <w:link w:val="10"/>
    <w:uiPriority w:val="9"/>
    <w:qFormat/>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semiHidden/>
    <w:unhideWhenUsed/>
    <w:qFormat/>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pPr>
      <w:keepNext/>
      <w:keepLines/>
      <w:spacing w:line="278" w:lineRule="auto"/>
      <w:outlineLvl w:val="7"/>
    </w:pPr>
    <w:rPr>
      <w:rFonts w:asciiTheme="minorHAnsi" w:eastAsiaTheme="majorEastAsia" w:hAnsiTheme="minorHAnsi" w:cstheme="majorBidi"/>
      <w:i/>
      <w:iCs/>
      <w:color w:val="262626" w:themeColor="text1" w:themeTint="D9"/>
      <w:kern w:val="2"/>
      <w14:ligatures w14:val="standardContextual"/>
    </w:rPr>
  </w:style>
  <w:style w:type="paragraph" w:styleId="9">
    <w:name w:val="heading 9"/>
    <w:basedOn w:val="a"/>
    <w:next w:val="a"/>
    <w:link w:val="90"/>
    <w:uiPriority w:val="9"/>
    <w:semiHidden/>
    <w:unhideWhenUsed/>
    <w:qFormat/>
    <w:pPr>
      <w:keepNext/>
      <w:keepLines/>
      <w:spacing w:line="278" w:lineRule="auto"/>
      <w:outlineLvl w:val="8"/>
    </w:pPr>
    <w:rPr>
      <w:rFonts w:asciiTheme="minorHAnsi" w:eastAsiaTheme="majorEastAsia" w:hAnsiTheme="minorHAnsi" w:cstheme="majorBidi"/>
      <w:color w:val="262626" w:themeColor="text1" w:themeTint="D9"/>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320"/>
        <w:tab w:val="right" w:pos="8640"/>
      </w:tabs>
    </w:pPr>
    <w:rPr>
      <w:rFonts w:asciiTheme="minorHAnsi" w:hAnsiTheme="minorHAnsi" w:cstheme="minorBidi"/>
      <w:kern w:val="2"/>
      <w14:ligatures w14:val="standardContextual"/>
    </w:rPr>
  </w:style>
  <w:style w:type="paragraph" w:styleId="a5">
    <w:name w:val="header"/>
    <w:basedOn w:val="a"/>
    <w:link w:val="a6"/>
    <w:uiPriority w:val="99"/>
    <w:unhideWhenUsed/>
    <w:qFormat/>
    <w:pPr>
      <w:tabs>
        <w:tab w:val="center" w:pos="4320"/>
        <w:tab w:val="right" w:pos="8640"/>
      </w:tabs>
    </w:pPr>
    <w:rPr>
      <w:rFonts w:asciiTheme="minorHAnsi" w:hAnsiTheme="minorHAnsi" w:cstheme="minorBidi"/>
      <w:kern w:val="2"/>
      <w14:ligatures w14:val="standardContextual"/>
    </w:rPr>
  </w:style>
  <w:style w:type="paragraph" w:styleId="a7">
    <w:name w:val="Subtitle"/>
    <w:basedOn w:val="a"/>
    <w:next w:val="a"/>
    <w:link w:val="a8"/>
    <w:uiPriority w:val="11"/>
    <w:qFormat/>
    <w:p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a9">
    <w:name w:val="Normal (Web)"/>
    <w:basedOn w:val="a"/>
    <w:qFormat/>
    <w:pPr>
      <w:spacing w:after="150"/>
      <w:jc w:val="both"/>
    </w:pPr>
  </w:style>
  <w:style w:type="paragraph" w:styleId="aa">
    <w:name w:val="Title"/>
    <w:basedOn w:val="a"/>
    <w:next w:val="a"/>
    <w:link w:val="ab"/>
    <w:uiPriority w:val="10"/>
    <w:qFormat/>
    <w:pPr>
      <w:spacing w:after="80"/>
      <w:contextualSpacing/>
    </w:pPr>
    <w:rPr>
      <w:rFonts w:asciiTheme="majorHAnsi" w:eastAsiaTheme="majorEastAsia" w:hAnsiTheme="majorHAnsi" w:cstheme="majorBidi"/>
      <w:spacing w:val="-10"/>
      <w:kern w:val="28"/>
      <w:sz w:val="56"/>
      <w:szCs w:val="56"/>
      <w14:ligatures w14:val="standardContextual"/>
    </w:rPr>
  </w:style>
  <w:style w:type="character" w:styleId="ac">
    <w:name w:val="Strong"/>
    <w:basedOn w:val="a0"/>
    <w:qFormat/>
    <w:rPr>
      <w:b/>
    </w:rPr>
  </w:style>
  <w:style w:type="character" w:styleId="ad">
    <w:name w:val="Emphasis"/>
    <w:basedOn w:val="a0"/>
    <w:qFormat/>
    <w:rPr>
      <w:i/>
    </w:rPr>
  </w:style>
  <w:style w:type="character" w:styleId="ae">
    <w:name w:val="line number"/>
    <w:basedOn w:val="a0"/>
    <w:uiPriority w:val="99"/>
    <w:semiHidden/>
    <w:unhideWhenUsed/>
    <w:qFormat/>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semiHidden/>
    <w:qFormat/>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semiHidden/>
    <w:qFormat/>
    <w:rPr>
      <w:rFonts w:eastAsiaTheme="majorEastAsia" w:cstheme="majorBidi"/>
      <w:color w:val="2F5496" w:themeColor="accent1" w:themeShade="BF"/>
      <w:sz w:val="28"/>
      <w:szCs w:val="28"/>
    </w:rPr>
  </w:style>
  <w:style w:type="character" w:customStyle="1" w:styleId="40">
    <w:name w:val="标题 4 字符"/>
    <w:basedOn w:val="a0"/>
    <w:link w:val="4"/>
    <w:uiPriority w:val="9"/>
    <w:semiHidden/>
    <w:qFormat/>
    <w:rPr>
      <w:rFonts w:eastAsiaTheme="majorEastAsia" w:cstheme="majorBidi"/>
      <w:i/>
      <w:iCs/>
      <w:color w:val="2F5496" w:themeColor="accent1" w:themeShade="BF"/>
    </w:rPr>
  </w:style>
  <w:style w:type="character" w:customStyle="1" w:styleId="50">
    <w:name w:val="标题 5 字符"/>
    <w:basedOn w:val="a0"/>
    <w:link w:val="5"/>
    <w:uiPriority w:val="9"/>
    <w:semiHidden/>
    <w:qFormat/>
    <w:rPr>
      <w:rFonts w:eastAsiaTheme="majorEastAsia" w:cstheme="majorBidi"/>
      <w:color w:val="2F5496" w:themeColor="accent1" w:themeShade="BF"/>
    </w:rPr>
  </w:style>
  <w:style w:type="character" w:customStyle="1" w:styleId="60">
    <w:name w:val="标题 6 字符"/>
    <w:basedOn w:val="a0"/>
    <w:link w:val="6"/>
    <w:uiPriority w:val="9"/>
    <w:semiHidden/>
    <w:qFormat/>
    <w:rPr>
      <w:rFonts w:eastAsiaTheme="majorEastAsia" w:cstheme="majorBidi"/>
      <w:i/>
      <w:iCs/>
      <w:color w:val="595959" w:themeColor="text1" w:themeTint="A6"/>
    </w:rPr>
  </w:style>
  <w:style w:type="character" w:customStyle="1" w:styleId="70">
    <w:name w:val="标题 7 字符"/>
    <w:basedOn w:val="a0"/>
    <w:link w:val="7"/>
    <w:uiPriority w:val="9"/>
    <w:semiHidden/>
    <w:qFormat/>
    <w:rPr>
      <w:rFonts w:eastAsiaTheme="majorEastAsia" w:cstheme="majorBidi"/>
      <w:color w:val="595959" w:themeColor="text1" w:themeTint="A6"/>
    </w:rPr>
  </w:style>
  <w:style w:type="character" w:customStyle="1" w:styleId="80">
    <w:name w:val="标题 8 字符"/>
    <w:basedOn w:val="a0"/>
    <w:link w:val="8"/>
    <w:uiPriority w:val="9"/>
    <w:semiHidden/>
    <w:qFormat/>
    <w:rPr>
      <w:rFonts w:eastAsiaTheme="majorEastAsia" w:cstheme="majorBidi"/>
      <w:i/>
      <w:iCs/>
      <w:color w:val="262626" w:themeColor="text1" w:themeTint="D9"/>
    </w:rPr>
  </w:style>
  <w:style w:type="character" w:customStyle="1" w:styleId="90">
    <w:name w:val="标题 9 字符"/>
    <w:basedOn w:val="a0"/>
    <w:link w:val="9"/>
    <w:uiPriority w:val="9"/>
    <w:semiHidden/>
    <w:rPr>
      <w:rFonts w:eastAsiaTheme="majorEastAsia" w:cstheme="majorBidi"/>
      <w:color w:val="262626" w:themeColor="text1" w:themeTint="D9"/>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eastAsiaTheme="majorEastAsia" w:cstheme="majorBidi"/>
      <w:color w:val="595959" w:themeColor="text1" w:themeTint="A6"/>
      <w:spacing w:val="15"/>
      <w:sz w:val="28"/>
      <w:szCs w:val="28"/>
    </w:rPr>
  </w:style>
  <w:style w:type="paragraph" w:styleId="af">
    <w:name w:val="Quote"/>
    <w:basedOn w:val="a"/>
    <w:next w:val="a"/>
    <w:link w:val="af0"/>
    <w:uiPriority w:val="29"/>
    <w:qFormat/>
    <w:pPr>
      <w:spacing w:before="160" w:after="160" w:line="278" w:lineRule="auto"/>
      <w:jc w:val="center"/>
    </w:pPr>
    <w:rPr>
      <w:rFonts w:asciiTheme="minorHAnsi" w:hAnsiTheme="minorHAnsi" w:cstheme="minorBidi"/>
      <w:i/>
      <w:iCs/>
      <w:color w:val="404040" w:themeColor="text1" w:themeTint="BF"/>
      <w:kern w:val="2"/>
      <w14:ligatures w14:val="standardContextual"/>
    </w:rPr>
  </w:style>
  <w:style w:type="character" w:customStyle="1" w:styleId="af0">
    <w:name w:val="引用 字符"/>
    <w:basedOn w:val="a0"/>
    <w:link w:val="af"/>
    <w:uiPriority w:val="29"/>
    <w:qFormat/>
    <w:rPr>
      <w:i/>
      <w:iCs/>
      <w:color w:val="404040" w:themeColor="text1" w:themeTint="BF"/>
    </w:rPr>
  </w:style>
  <w:style w:type="paragraph" w:styleId="af1">
    <w:name w:val="List Paragraph"/>
    <w:basedOn w:val="a"/>
    <w:uiPriority w:val="34"/>
    <w:qFormat/>
    <w:pPr>
      <w:spacing w:after="160" w:line="278" w:lineRule="auto"/>
      <w:ind w:left="720"/>
      <w:contextualSpacing/>
    </w:pPr>
    <w:rPr>
      <w:rFonts w:asciiTheme="minorHAnsi" w:hAnsiTheme="minorHAnsi" w:cstheme="minorBidi"/>
      <w:kern w:val="2"/>
      <w14:ligatures w14:val="standardContextual"/>
    </w:rPr>
  </w:style>
  <w:style w:type="character" w:customStyle="1" w:styleId="11">
    <w:name w:val="明显强调1"/>
    <w:basedOn w:val="a0"/>
    <w:uiPriority w:val="21"/>
    <w:qFormat/>
    <w:rPr>
      <w:i/>
      <w:iCs/>
      <w:color w:val="2F5496" w:themeColor="accent1" w:themeShade="BF"/>
    </w:rPr>
  </w:style>
  <w:style w:type="paragraph" w:styleId="af2">
    <w:name w:val="Intense Quote"/>
    <w:basedOn w:val="a"/>
    <w:next w:val="a"/>
    <w:link w:val="af3"/>
    <w:uiPriority w:val="30"/>
    <w:qFormat/>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cstheme="minorBidi"/>
      <w:i/>
      <w:iCs/>
      <w:color w:val="2F5496" w:themeColor="accent1" w:themeShade="BF"/>
      <w:kern w:val="2"/>
      <w14:ligatures w14:val="standardContextual"/>
    </w:rPr>
  </w:style>
  <w:style w:type="character" w:customStyle="1" w:styleId="af3">
    <w:name w:val="明显引用 字符"/>
    <w:basedOn w:val="a0"/>
    <w:link w:val="af2"/>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character" w:customStyle="1" w:styleId="a6">
    <w:name w:val="页眉 字符"/>
    <w:basedOn w:val="a0"/>
    <w:link w:val="a5"/>
    <w:uiPriority w:val="99"/>
    <w:qFormat/>
  </w:style>
  <w:style w:type="character" w:customStyle="1" w:styleId="a4">
    <w:name w:val="页脚 字符"/>
    <w:basedOn w:val="a0"/>
    <w:link w:val="a3"/>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630</Words>
  <Characters>3733</Characters>
  <Application>Microsoft Office Word</Application>
  <DocSecurity>0</DocSecurity>
  <Lines>287</Lines>
  <Paragraphs>47</Paragraphs>
  <ScaleCrop>false</ScaleCrop>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Editor</dc:creator>
  <cp:lastModifiedBy>Polaris</cp:lastModifiedBy>
  <cp:revision>4</cp:revision>
  <dcterms:created xsi:type="dcterms:W3CDTF">2026-04-22T01:15:00Z</dcterms:created>
  <dcterms:modified xsi:type="dcterms:W3CDTF">2026-07-15T08:29:00Z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eyJoZGlkIjoiNWQzMThhMGRkZmQ5MWNhMDJjMDM1ZjQ0NDc1OWE3MzIiLCJ1c2VySWQiOiI0NDExMDUwNTYifQ==</vt:lpwstr>
  </property>
  <property fmtid="{D5CDD505-2E9C-101B-9397-08002B2CF9AE}" pid="3" name="KSOProductBuildVer">
    <vt:lpwstr>2052-12.1.0.26895</vt:lpwstr>
  </property>
  <property fmtid="{D5CDD505-2E9C-101B-9397-08002B2CF9AE}" pid="4" name="ICV">
    <vt:lpwstr>1A127581E9BD47DEA1449C1DC93709B4_12</vt:lpwstr>
  </property>
</Properties>
</file>